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C800A" w14:textId="77777777" w:rsidR="001E31EB" w:rsidRPr="00323266" w:rsidRDefault="001E31EB" w:rsidP="00323266">
      <w:pPr>
        <w:spacing w:before="120" w:after="120" w:line="240" w:lineRule="auto"/>
        <w:jc w:val="center"/>
        <w:rPr>
          <w:rFonts w:cstheme="minorHAnsi"/>
          <w:b/>
          <w:bCs/>
          <w:sz w:val="28"/>
          <w:szCs w:val="28"/>
          <w:u w:val="single"/>
        </w:rPr>
      </w:pPr>
    </w:p>
    <w:p w14:paraId="5B5FBF3A" w14:textId="4CEA8CE8" w:rsidR="009961EE" w:rsidRPr="00A450B5" w:rsidRDefault="009961EE" w:rsidP="00323266">
      <w:pPr>
        <w:spacing w:before="120" w:after="120" w:line="240" w:lineRule="auto"/>
        <w:jc w:val="center"/>
        <w:rPr>
          <w:rFonts w:cstheme="minorHAnsi"/>
          <w:b/>
          <w:bCs/>
          <w:sz w:val="32"/>
          <w:szCs w:val="32"/>
          <w:u w:val="single"/>
        </w:rPr>
      </w:pPr>
      <w:r w:rsidRPr="00A450B5">
        <w:rPr>
          <w:rFonts w:cstheme="minorHAnsi"/>
          <w:b/>
          <w:bCs/>
          <w:sz w:val="32"/>
          <w:szCs w:val="32"/>
          <w:u w:val="single"/>
        </w:rPr>
        <w:t>Anti-Money Laundering (AML) Policy</w:t>
      </w:r>
    </w:p>
    <w:p w14:paraId="10B62D5B" w14:textId="0CF5FA7C" w:rsidR="009961EE" w:rsidRPr="00323266" w:rsidRDefault="009961EE" w:rsidP="00323266">
      <w:pPr>
        <w:spacing w:before="120" w:after="120" w:line="240" w:lineRule="auto"/>
        <w:rPr>
          <w:rFonts w:cstheme="minorHAnsi"/>
          <w:sz w:val="28"/>
          <w:szCs w:val="28"/>
        </w:rPr>
      </w:pPr>
      <w:r w:rsidRPr="00323266">
        <w:rPr>
          <w:rFonts w:cstheme="minorHAnsi"/>
          <w:sz w:val="28"/>
          <w:szCs w:val="28"/>
        </w:rPr>
        <w:t>The purpose of this Anti-Money Laundering (AML) Policy</w:t>
      </w:r>
      <w:r w:rsidR="008555AA" w:rsidRPr="00323266">
        <w:rPr>
          <w:rFonts w:cstheme="minorHAnsi"/>
          <w:sz w:val="28"/>
          <w:szCs w:val="28"/>
        </w:rPr>
        <w:t xml:space="preserve"> of </w:t>
      </w:r>
      <w:r w:rsidRPr="00323266">
        <w:rPr>
          <w:rFonts w:cstheme="minorHAnsi"/>
          <w:sz w:val="28"/>
          <w:szCs w:val="28"/>
        </w:rPr>
        <w:t xml:space="preserve"> </w:t>
      </w:r>
      <w:r w:rsidR="008555AA" w:rsidRPr="00A450B5">
        <w:rPr>
          <w:rFonts w:cstheme="minorHAnsi"/>
          <w:b/>
          <w:bCs/>
          <w:sz w:val="28"/>
          <w:szCs w:val="28"/>
        </w:rPr>
        <w:t xml:space="preserve">Globus Trading Inc, </w:t>
      </w:r>
      <w:r w:rsidR="008555AA" w:rsidRPr="00323266">
        <w:rPr>
          <w:rFonts w:cstheme="minorHAnsi"/>
          <w:sz w:val="28"/>
          <w:szCs w:val="28"/>
        </w:rPr>
        <w:t>company Number:</w:t>
      </w:r>
      <w:r w:rsidR="008555AA" w:rsidRPr="00323266">
        <w:rPr>
          <w:rFonts w:cstheme="minorHAnsi"/>
        </w:rPr>
        <w:t xml:space="preserve"> </w:t>
      </w:r>
      <w:r w:rsidR="008555AA" w:rsidRPr="00323266">
        <w:rPr>
          <w:rFonts w:cstheme="minorHAnsi"/>
          <w:sz w:val="28"/>
          <w:szCs w:val="28"/>
        </w:rPr>
        <w:t xml:space="preserve"> HT00324021, P.B. 1257 Bonovo Road, Fomboni, Comoros, KM, Brokerage License Number: BFX2024059 (“</w:t>
      </w:r>
      <w:r w:rsidR="008555AA" w:rsidRPr="00323266">
        <w:rPr>
          <w:rFonts w:cstheme="minorHAnsi"/>
          <w:b/>
          <w:bCs/>
          <w:sz w:val="28"/>
          <w:szCs w:val="28"/>
        </w:rPr>
        <w:t>The Company</w:t>
      </w:r>
      <w:r w:rsidR="008555AA" w:rsidRPr="00323266">
        <w:rPr>
          <w:rFonts w:cstheme="minorHAnsi"/>
          <w:sz w:val="28"/>
          <w:szCs w:val="28"/>
        </w:rPr>
        <w:t xml:space="preserve">”) </w:t>
      </w:r>
      <w:r w:rsidRPr="00323266">
        <w:rPr>
          <w:rFonts w:cstheme="minorHAnsi"/>
          <w:sz w:val="28"/>
          <w:szCs w:val="28"/>
        </w:rPr>
        <w:t>is to ensure that Globus Trading Inc. operates in compliance with anti-money laundering and counter-terrorist financing laws and regulations. The objective of this policy is to safeguard the company from being exploited for illicit activities, uphold international financial standards, and protect the company’s reputation by promoting a culture of compliance and ethical conduct.</w:t>
      </w:r>
    </w:p>
    <w:p w14:paraId="1098CB56" w14:textId="77777777" w:rsidR="009961EE" w:rsidRPr="00323266" w:rsidRDefault="009961EE" w:rsidP="00323266">
      <w:pPr>
        <w:spacing w:before="120" w:after="120" w:line="240" w:lineRule="auto"/>
        <w:rPr>
          <w:rFonts w:cstheme="minorHAnsi"/>
          <w:sz w:val="28"/>
          <w:szCs w:val="28"/>
        </w:rPr>
      </w:pPr>
      <w:r w:rsidRPr="00323266">
        <w:rPr>
          <w:rFonts w:cstheme="minorHAnsi"/>
          <w:sz w:val="28"/>
          <w:szCs w:val="28"/>
        </w:rPr>
        <w:t>This policy is developed in alignment with the AML and Counter-Terrorist Financing (</w:t>
      </w:r>
      <w:r w:rsidRPr="00A450B5">
        <w:rPr>
          <w:rFonts w:cstheme="minorHAnsi"/>
          <w:b/>
          <w:bCs/>
          <w:sz w:val="28"/>
          <w:szCs w:val="28"/>
        </w:rPr>
        <w:t>CTF</w:t>
      </w:r>
      <w:r w:rsidRPr="00323266">
        <w:rPr>
          <w:rFonts w:cstheme="minorHAnsi"/>
          <w:sz w:val="28"/>
          <w:szCs w:val="28"/>
        </w:rPr>
        <w:t>) requirements of Comoros and other applicable international standards, such as those issued by the Financial Action Task Force (</w:t>
      </w:r>
      <w:r w:rsidRPr="00A450B5">
        <w:rPr>
          <w:rFonts w:cstheme="minorHAnsi"/>
          <w:b/>
          <w:bCs/>
          <w:sz w:val="28"/>
          <w:szCs w:val="28"/>
        </w:rPr>
        <w:t>FATF</w:t>
      </w:r>
      <w:r w:rsidRPr="00323266">
        <w:rPr>
          <w:rFonts w:cstheme="minorHAnsi"/>
          <w:sz w:val="28"/>
          <w:szCs w:val="28"/>
        </w:rPr>
        <w:t>).</w:t>
      </w:r>
    </w:p>
    <w:p w14:paraId="5405FAE2" w14:textId="3A1A5A1E" w:rsidR="009961EE" w:rsidRPr="00323266" w:rsidRDefault="000C2130" w:rsidP="00323266">
      <w:pPr>
        <w:spacing w:before="120" w:after="120" w:line="240" w:lineRule="auto"/>
        <w:rPr>
          <w:rFonts w:cstheme="minorHAnsi"/>
          <w:b/>
          <w:bCs/>
          <w:sz w:val="28"/>
          <w:szCs w:val="28"/>
          <w:u w:val="single"/>
        </w:rPr>
      </w:pPr>
      <w:r w:rsidRPr="00323266">
        <w:rPr>
          <w:rFonts w:cstheme="minorHAnsi"/>
          <w:b/>
          <w:bCs/>
          <w:sz w:val="28"/>
          <w:szCs w:val="28"/>
          <w:u w:val="single"/>
        </w:rPr>
        <w:t xml:space="preserve">Policy </w:t>
      </w:r>
      <w:r w:rsidR="009961EE" w:rsidRPr="00323266">
        <w:rPr>
          <w:rFonts w:cstheme="minorHAnsi"/>
          <w:b/>
          <w:bCs/>
          <w:sz w:val="28"/>
          <w:szCs w:val="28"/>
          <w:u w:val="single"/>
        </w:rPr>
        <w:t>Scope</w:t>
      </w:r>
    </w:p>
    <w:p w14:paraId="5684C6F5" w14:textId="77777777" w:rsidR="009961EE" w:rsidRPr="00323266" w:rsidRDefault="009961EE" w:rsidP="00323266">
      <w:pPr>
        <w:spacing w:before="120" w:after="120" w:line="240" w:lineRule="auto"/>
        <w:rPr>
          <w:rFonts w:cstheme="minorHAnsi"/>
          <w:sz w:val="28"/>
          <w:szCs w:val="28"/>
        </w:rPr>
      </w:pPr>
      <w:r w:rsidRPr="00323266">
        <w:rPr>
          <w:rFonts w:cstheme="minorHAnsi"/>
          <w:sz w:val="28"/>
          <w:szCs w:val="28"/>
        </w:rPr>
        <w:t>This AML Policy applies to all directors, officers, employees, agents, affiliates, and any third-party service providers associated with Globus Trading Inc. It covers all interactions with clients, transactions, and business dealings across every operational location. Compliance with this policy is mandatory to maintain the integrity and lawful operation of the company.</w:t>
      </w:r>
    </w:p>
    <w:p w14:paraId="7B041E5E" w14:textId="1C34D8FB" w:rsidR="009961EE" w:rsidRPr="00323266" w:rsidRDefault="009961EE" w:rsidP="00323266">
      <w:pPr>
        <w:spacing w:before="120" w:after="120" w:line="240" w:lineRule="auto"/>
        <w:rPr>
          <w:rFonts w:cstheme="minorHAnsi"/>
          <w:b/>
          <w:bCs/>
          <w:sz w:val="28"/>
          <w:szCs w:val="28"/>
          <w:u w:val="single"/>
        </w:rPr>
      </w:pPr>
      <w:r w:rsidRPr="00323266">
        <w:rPr>
          <w:rFonts w:cstheme="minorHAnsi"/>
          <w:b/>
          <w:bCs/>
          <w:sz w:val="28"/>
          <w:szCs w:val="28"/>
          <w:u w:val="single"/>
        </w:rPr>
        <w:t>AML Compliance Officer</w:t>
      </w:r>
    </w:p>
    <w:p w14:paraId="7D294855" w14:textId="77777777" w:rsidR="009961EE" w:rsidRPr="00323266" w:rsidRDefault="009961EE" w:rsidP="00323266">
      <w:pPr>
        <w:spacing w:before="120" w:after="120" w:line="240" w:lineRule="auto"/>
        <w:rPr>
          <w:rFonts w:cstheme="minorHAnsi"/>
          <w:sz w:val="28"/>
          <w:szCs w:val="28"/>
        </w:rPr>
      </w:pPr>
      <w:r w:rsidRPr="00323266">
        <w:rPr>
          <w:rFonts w:cstheme="minorHAnsi"/>
          <w:sz w:val="28"/>
          <w:szCs w:val="28"/>
        </w:rPr>
        <w:t>The Compliance Officer is central to the effectiveness of this AML Policy and is responsible for developing, implementing, and monitoring the company’s anti-money laundering program.</w:t>
      </w:r>
    </w:p>
    <w:p w14:paraId="7FCF61C6" w14:textId="45CF095F" w:rsidR="009961EE" w:rsidRPr="00323266" w:rsidRDefault="009961EE" w:rsidP="00323266">
      <w:pPr>
        <w:spacing w:before="120" w:after="120" w:line="240" w:lineRule="auto"/>
        <w:rPr>
          <w:rFonts w:cstheme="minorHAnsi"/>
          <w:sz w:val="28"/>
          <w:szCs w:val="28"/>
        </w:rPr>
      </w:pPr>
      <w:r w:rsidRPr="00323266">
        <w:rPr>
          <w:rFonts w:cstheme="minorHAnsi"/>
          <w:sz w:val="28"/>
          <w:szCs w:val="28"/>
        </w:rPr>
        <w:t>Appointment and Qualifications</w:t>
      </w:r>
      <w:r w:rsidR="004E74A7" w:rsidRPr="00323266">
        <w:rPr>
          <w:rFonts w:cstheme="minorHAnsi"/>
          <w:sz w:val="28"/>
          <w:szCs w:val="28"/>
        </w:rPr>
        <w:t xml:space="preserve">:  </w:t>
      </w:r>
      <w:r w:rsidRPr="00323266">
        <w:rPr>
          <w:rFonts w:cstheme="minorHAnsi"/>
          <w:sz w:val="28"/>
          <w:szCs w:val="28"/>
        </w:rPr>
        <w:t>The Compliance Officer is appointed by the senior management and must possess relevant experience and qualifications in AML/CTF regulations.</w:t>
      </w:r>
    </w:p>
    <w:p w14:paraId="5FE186C9" w14:textId="25420E97" w:rsidR="009961EE" w:rsidRPr="00323266" w:rsidRDefault="009961EE" w:rsidP="00323266">
      <w:pPr>
        <w:spacing w:before="120" w:after="120" w:line="240" w:lineRule="auto"/>
        <w:rPr>
          <w:rFonts w:cstheme="minorHAnsi"/>
          <w:sz w:val="28"/>
          <w:szCs w:val="28"/>
        </w:rPr>
      </w:pPr>
      <w:r w:rsidRPr="00323266">
        <w:rPr>
          <w:rFonts w:cstheme="minorHAnsi"/>
          <w:sz w:val="28"/>
          <w:szCs w:val="28"/>
        </w:rPr>
        <w:t>Responsibilities</w:t>
      </w:r>
      <w:r w:rsidR="004E74A7" w:rsidRPr="00323266">
        <w:rPr>
          <w:rFonts w:cstheme="minorHAnsi"/>
          <w:sz w:val="28"/>
          <w:szCs w:val="28"/>
        </w:rPr>
        <w:t xml:space="preserve">: </w:t>
      </w:r>
      <w:r w:rsidRPr="00323266">
        <w:rPr>
          <w:rFonts w:cstheme="minorHAnsi"/>
          <w:sz w:val="28"/>
          <w:szCs w:val="28"/>
        </w:rPr>
        <w:t>The Compliance Officer’s duties include:</w:t>
      </w:r>
    </w:p>
    <w:p w14:paraId="69FCB159" w14:textId="0FDAE94A" w:rsidR="009961EE" w:rsidRPr="00323266" w:rsidRDefault="009961EE" w:rsidP="00323266">
      <w:pPr>
        <w:pStyle w:val="ListParagraph"/>
        <w:numPr>
          <w:ilvl w:val="0"/>
          <w:numId w:val="11"/>
        </w:numPr>
        <w:spacing w:before="120" w:after="120" w:line="240" w:lineRule="auto"/>
        <w:contextualSpacing w:val="0"/>
        <w:rPr>
          <w:rFonts w:cstheme="minorHAnsi"/>
          <w:sz w:val="28"/>
          <w:szCs w:val="28"/>
        </w:rPr>
      </w:pPr>
      <w:r w:rsidRPr="00323266">
        <w:rPr>
          <w:rFonts w:cstheme="minorHAnsi"/>
          <w:sz w:val="28"/>
          <w:szCs w:val="28"/>
        </w:rPr>
        <w:t>Developing and updating the company’s AML policies and procedures.</w:t>
      </w:r>
    </w:p>
    <w:p w14:paraId="1E2C857E" w14:textId="142A71A1" w:rsidR="009961EE" w:rsidRPr="00323266" w:rsidRDefault="009961EE" w:rsidP="00323266">
      <w:pPr>
        <w:pStyle w:val="ListParagraph"/>
        <w:numPr>
          <w:ilvl w:val="0"/>
          <w:numId w:val="11"/>
        </w:numPr>
        <w:spacing w:before="120" w:after="120" w:line="240" w:lineRule="auto"/>
        <w:contextualSpacing w:val="0"/>
        <w:rPr>
          <w:rFonts w:cstheme="minorHAnsi"/>
          <w:sz w:val="28"/>
          <w:szCs w:val="28"/>
        </w:rPr>
      </w:pPr>
      <w:r w:rsidRPr="00323266">
        <w:rPr>
          <w:rFonts w:cstheme="minorHAnsi"/>
          <w:sz w:val="28"/>
          <w:szCs w:val="28"/>
        </w:rPr>
        <w:t>Managing the company’s compliance program and overseeing adherence to AML regulations.</w:t>
      </w:r>
    </w:p>
    <w:p w14:paraId="2D09E44D" w14:textId="18B4B14B" w:rsidR="009961EE" w:rsidRPr="00323266" w:rsidRDefault="009961EE" w:rsidP="00323266">
      <w:pPr>
        <w:pStyle w:val="ListParagraph"/>
        <w:numPr>
          <w:ilvl w:val="0"/>
          <w:numId w:val="11"/>
        </w:numPr>
        <w:spacing w:before="120" w:after="120" w:line="240" w:lineRule="auto"/>
        <w:contextualSpacing w:val="0"/>
        <w:rPr>
          <w:rFonts w:cstheme="minorHAnsi"/>
          <w:sz w:val="28"/>
          <w:szCs w:val="28"/>
        </w:rPr>
      </w:pPr>
      <w:r w:rsidRPr="00323266">
        <w:rPr>
          <w:rFonts w:cstheme="minorHAnsi"/>
          <w:sz w:val="28"/>
          <w:szCs w:val="28"/>
        </w:rPr>
        <w:lastRenderedPageBreak/>
        <w:t>Conducting and overseeing regular risk assessments to evaluate potential exposure to money laundering and terrorist financing.</w:t>
      </w:r>
    </w:p>
    <w:p w14:paraId="6F883A48" w14:textId="0071DFDB" w:rsidR="009961EE" w:rsidRPr="00323266" w:rsidRDefault="009961EE" w:rsidP="00323266">
      <w:pPr>
        <w:pStyle w:val="ListParagraph"/>
        <w:numPr>
          <w:ilvl w:val="0"/>
          <w:numId w:val="11"/>
        </w:numPr>
        <w:spacing w:before="120" w:after="120" w:line="240" w:lineRule="auto"/>
        <w:contextualSpacing w:val="0"/>
        <w:rPr>
          <w:rFonts w:cstheme="minorHAnsi"/>
          <w:sz w:val="28"/>
          <w:szCs w:val="28"/>
        </w:rPr>
      </w:pPr>
      <w:r w:rsidRPr="00323266">
        <w:rPr>
          <w:rFonts w:cstheme="minorHAnsi"/>
          <w:sz w:val="28"/>
          <w:szCs w:val="28"/>
        </w:rPr>
        <w:t>Reporting suspicious transactions to the appropriate authorities in Comoros.</w:t>
      </w:r>
    </w:p>
    <w:p w14:paraId="5830D3F7" w14:textId="6A4589A0" w:rsidR="009961EE" w:rsidRPr="00323266" w:rsidRDefault="009961EE" w:rsidP="00323266">
      <w:pPr>
        <w:pStyle w:val="ListParagraph"/>
        <w:numPr>
          <w:ilvl w:val="0"/>
          <w:numId w:val="11"/>
        </w:numPr>
        <w:spacing w:before="120" w:after="120" w:line="240" w:lineRule="auto"/>
        <w:contextualSpacing w:val="0"/>
        <w:rPr>
          <w:rFonts w:cstheme="minorHAnsi"/>
          <w:sz w:val="28"/>
          <w:szCs w:val="28"/>
        </w:rPr>
      </w:pPr>
      <w:r w:rsidRPr="00323266">
        <w:rPr>
          <w:rFonts w:cstheme="minorHAnsi"/>
          <w:sz w:val="28"/>
          <w:szCs w:val="28"/>
        </w:rPr>
        <w:t>Conducting internal audits and policy reviews.</w:t>
      </w:r>
    </w:p>
    <w:p w14:paraId="644095A7" w14:textId="6485BAEE" w:rsidR="009961EE" w:rsidRPr="00323266" w:rsidRDefault="009961EE" w:rsidP="00323266">
      <w:pPr>
        <w:pStyle w:val="ListParagraph"/>
        <w:numPr>
          <w:ilvl w:val="0"/>
          <w:numId w:val="11"/>
        </w:numPr>
        <w:spacing w:before="120" w:after="120" w:line="240" w:lineRule="auto"/>
        <w:contextualSpacing w:val="0"/>
        <w:rPr>
          <w:rFonts w:cstheme="minorHAnsi"/>
          <w:sz w:val="28"/>
          <w:szCs w:val="28"/>
        </w:rPr>
      </w:pPr>
      <w:r w:rsidRPr="00323266">
        <w:rPr>
          <w:rFonts w:cstheme="minorHAnsi"/>
          <w:sz w:val="28"/>
          <w:szCs w:val="28"/>
        </w:rPr>
        <w:t>Providing regular AML training to all employees.</w:t>
      </w:r>
    </w:p>
    <w:p w14:paraId="2800BC94" w14:textId="77777777" w:rsidR="009961EE" w:rsidRPr="00323266" w:rsidRDefault="009961EE" w:rsidP="00323266">
      <w:pPr>
        <w:spacing w:before="120" w:after="120" w:line="240" w:lineRule="auto"/>
        <w:rPr>
          <w:rFonts w:cstheme="minorHAnsi"/>
          <w:sz w:val="28"/>
          <w:szCs w:val="28"/>
        </w:rPr>
      </w:pPr>
      <w:r w:rsidRPr="00323266">
        <w:rPr>
          <w:rFonts w:cstheme="minorHAnsi"/>
          <w:sz w:val="28"/>
          <w:szCs w:val="28"/>
        </w:rPr>
        <w:t>The Compliance Officer has full access to all necessary information and records required to discharge these responsibilities.</w:t>
      </w:r>
    </w:p>
    <w:p w14:paraId="382BBDB8" w14:textId="678A1B57" w:rsidR="009961EE" w:rsidRPr="00323266" w:rsidRDefault="009961EE" w:rsidP="00323266">
      <w:pPr>
        <w:spacing w:before="120" w:after="120" w:line="240" w:lineRule="auto"/>
        <w:rPr>
          <w:rFonts w:cstheme="minorHAnsi"/>
          <w:b/>
          <w:bCs/>
          <w:sz w:val="28"/>
          <w:szCs w:val="28"/>
          <w:u w:val="single"/>
        </w:rPr>
      </w:pPr>
      <w:r w:rsidRPr="00323266">
        <w:rPr>
          <w:rFonts w:cstheme="minorHAnsi"/>
          <w:b/>
          <w:bCs/>
          <w:sz w:val="28"/>
          <w:szCs w:val="28"/>
          <w:u w:val="single"/>
        </w:rPr>
        <w:t>Risk-Based Approach</w:t>
      </w:r>
    </w:p>
    <w:p w14:paraId="61F7FE26" w14:textId="77777777" w:rsidR="009961EE" w:rsidRPr="00323266" w:rsidRDefault="009961EE" w:rsidP="00323266">
      <w:pPr>
        <w:spacing w:before="120" w:after="120" w:line="240" w:lineRule="auto"/>
        <w:rPr>
          <w:rFonts w:cstheme="minorHAnsi"/>
          <w:sz w:val="28"/>
          <w:szCs w:val="28"/>
        </w:rPr>
      </w:pPr>
      <w:r w:rsidRPr="00323266">
        <w:rPr>
          <w:rFonts w:cstheme="minorHAnsi"/>
          <w:sz w:val="28"/>
          <w:szCs w:val="28"/>
        </w:rPr>
        <w:t>Globus Trading Inc. implements a risk-based approach (RBA) to manage and mitigate risks associated with money laundering and terrorist financing. This approach involves identifying, assessing, and understanding the company’s exposure to risks and then applying commensurate measures to address them.</w:t>
      </w:r>
    </w:p>
    <w:p w14:paraId="375B9196" w14:textId="1D51E142" w:rsidR="009961EE" w:rsidRPr="00323266" w:rsidRDefault="009961EE" w:rsidP="00323266">
      <w:pPr>
        <w:spacing w:before="120" w:after="120" w:line="240" w:lineRule="auto"/>
        <w:rPr>
          <w:rFonts w:cstheme="minorHAnsi"/>
          <w:b/>
          <w:bCs/>
          <w:sz w:val="28"/>
          <w:szCs w:val="28"/>
          <w:u w:val="single"/>
        </w:rPr>
      </w:pPr>
      <w:r w:rsidRPr="00323266">
        <w:rPr>
          <w:rFonts w:cstheme="minorHAnsi"/>
          <w:b/>
          <w:bCs/>
          <w:sz w:val="28"/>
          <w:szCs w:val="28"/>
          <w:u w:val="single"/>
        </w:rPr>
        <w:t>Risk Assessment Categories</w:t>
      </w:r>
    </w:p>
    <w:p w14:paraId="4EECEB01" w14:textId="77777777" w:rsidR="009961EE" w:rsidRPr="00323266" w:rsidRDefault="009961EE" w:rsidP="00323266">
      <w:pPr>
        <w:spacing w:before="120" w:after="120" w:line="240" w:lineRule="auto"/>
        <w:rPr>
          <w:rFonts w:cstheme="minorHAnsi"/>
          <w:sz w:val="28"/>
          <w:szCs w:val="28"/>
        </w:rPr>
      </w:pPr>
      <w:r w:rsidRPr="00323266">
        <w:rPr>
          <w:rFonts w:cstheme="minorHAnsi"/>
          <w:sz w:val="28"/>
          <w:szCs w:val="28"/>
        </w:rPr>
        <w:t>Risk assessments are conducted periodically and include evaluation of:</w:t>
      </w:r>
    </w:p>
    <w:p w14:paraId="72006917" w14:textId="2BD3F8F4" w:rsidR="009961EE" w:rsidRPr="00323266" w:rsidRDefault="009961EE" w:rsidP="00323266">
      <w:pPr>
        <w:pStyle w:val="ListParagraph"/>
        <w:numPr>
          <w:ilvl w:val="0"/>
          <w:numId w:val="12"/>
        </w:numPr>
        <w:spacing w:before="120" w:after="120" w:line="240" w:lineRule="auto"/>
        <w:contextualSpacing w:val="0"/>
        <w:rPr>
          <w:rFonts w:cstheme="minorHAnsi"/>
          <w:sz w:val="28"/>
          <w:szCs w:val="28"/>
        </w:rPr>
      </w:pPr>
      <w:r w:rsidRPr="00323266">
        <w:rPr>
          <w:rFonts w:cstheme="minorHAnsi"/>
          <w:sz w:val="28"/>
          <w:szCs w:val="28"/>
        </w:rPr>
        <w:t>Customer Risk**: Client type, nature of business, and geographic location.</w:t>
      </w:r>
    </w:p>
    <w:p w14:paraId="14CC8E7F" w14:textId="5D1A2B1F" w:rsidR="009961EE" w:rsidRPr="00323266" w:rsidRDefault="009961EE" w:rsidP="00323266">
      <w:pPr>
        <w:pStyle w:val="ListParagraph"/>
        <w:numPr>
          <w:ilvl w:val="0"/>
          <w:numId w:val="12"/>
        </w:numPr>
        <w:spacing w:before="120" w:after="120" w:line="240" w:lineRule="auto"/>
        <w:contextualSpacing w:val="0"/>
        <w:rPr>
          <w:rFonts w:cstheme="minorHAnsi"/>
          <w:sz w:val="28"/>
          <w:szCs w:val="28"/>
        </w:rPr>
      </w:pPr>
      <w:r w:rsidRPr="00323266">
        <w:rPr>
          <w:rFonts w:cstheme="minorHAnsi"/>
          <w:sz w:val="28"/>
          <w:szCs w:val="28"/>
        </w:rPr>
        <w:t>Product and Service Risk**: Risks associated with specific services offered, including currency exchange and high-volume trading.</w:t>
      </w:r>
    </w:p>
    <w:p w14:paraId="06834A6C" w14:textId="57D00D93" w:rsidR="009961EE" w:rsidRPr="00323266" w:rsidRDefault="009961EE" w:rsidP="00323266">
      <w:pPr>
        <w:pStyle w:val="ListParagraph"/>
        <w:numPr>
          <w:ilvl w:val="0"/>
          <w:numId w:val="12"/>
        </w:numPr>
        <w:spacing w:before="120" w:after="120" w:line="240" w:lineRule="auto"/>
        <w:contextualSpacing w:val="0"/>
        <w:rPr>
          <w:rFonts w:cstheme="minorHAnsi"/>
          <w:sz w:val="28"/>
          <w:szCs w:val="28"/>
        </w:rPr>
      </w:pPr>
      <w:r w:rsidRPr="00323266">
        <w:rPr>
          <w:rFonts w:cstheme="minorHAnsi"/>
          <w:sz w:val="28"/>
          <w:szCs w:val="28"/>
        </w:rPr>
        <w:t>Channel Risk**: Risks posed by how services are delivered, including online and non-face-to-face transactions.</w:t>
      </w:r>
    </w:p>
    <w:p w14:paraId="75CAD21F" w14:textId="66796BCD" w:rsidR="009961EE" w:rsidRPr="00323266" w:rsidRDefault="009961EE" w:rsidP="00323266">
      <w:pPr>
        <w:pStyle w:val="ListParagraph"/>
        <w:numPr>
          <w:ilvl w:val="0"/>
          <w:numId w:val="12"/>
        </w:numPr>
        <w:spacing w:before="120" w:after="120" w:line="240" w:lineRule="auto"/>
        <w:contextualSpacing w:val="0"/>
        <w:rPr>
          <w:rFonts w:cstheme="minorHAnsi"/>
          <w:sz w:val="28"/>
          <w:szCs w:val="28"/>
        </w:rPr>
      </w:pPr>
      <w:r w:rsidRPr="00323266">
        <w:rPr>
          <w:rFonts w:cstheme="minorHAnsi"/>
          <w:sz w:val="28"/>
          <w:szCs w:val="28"/>
        </w:rPr>
        <w:t>Geographic Risk**: The risks associated with customers and transactions from high-risk jurisdictions.</w:t>
      </w:r>
    </w:p>
    <w:p w14:paraId="72496846" w14:textId="751E031D" w:rsidR="009961EE" w:rsidRPr="00323266" w:rsidRDefault="009961EE" w:rsidP="00323266">
      <w:pPr>
        <w:spacing w:before="120" w:after="120" w:line="240" w:lineRule="auto"/>
        <w:rPr>
          <w:rFonts w:cstheme="minorHAnsi"/>
          <w:b/>
          <w:bCs/>
          <w:sz w:val="28"/>
          <w:szCs w:val="28"/>
          <w:u w:val="single"/>
        </w:rPr>
      </w:pPr>
      <w:r w:rsidRPr="00323266">
        <w:rPr>
          <w:rFonts w:cstheme="minorHAnsi"/>
          <w:b/>
          <w:bCs/>
          <w:sz w:val="28"/>
          <w:szCs w:val="28"/>
          <w:u w:val="single"/>
        </w:rPr>
        <w:t>Ongoing Risk Evaluation</w:t>
      </w:r>
    </w:p>
    <w:p w14:paraId="05323753" w14:textId="77777777" w:rsidR="009961EE" w:rsidRPr="00323266" w:rsidRDefault="009961EE" w:rsidP="00323266">
      <w:pPr>
        <w:spacing w:before="120" w:after="120" w:line="240" w:lineRule="auto"/>
        <w:rPr>
          <w:rFonts w:cstheme="minorHAnsi"/>
          <w:sz w:val="28"/>
          <w:szCs w:val="28"/>
        </w:rPr>
      </w:pPr>
      <w:r w:rsidRPr="00323266">
        <w:rPr>
          <w:rFonts w:cstheme="minorHAnsi"/>
          <w:sz w:val="28"/>
          <w:szCs w:val="28"/>
        </w:rPr>
        <w:t>Globus Trading Inc. will continuously monitor and reassess risks to ensure that controls and procedures are effectively tailored to mitigate new and emerging threats.</w:t>
      </w:r>
    </w:p>
    <w:p w14:paraId="578AE5B4" w14:textId="4E1D2EF5" w:rsidR="009961EE" w:rsidRPr="00323266" w:rsidRDefault="009961EE" w:rsidP="00323266">
      <w:pPr>
        <w:spacing w:before="120" w:after="120" w:line="240" w:lineRule="auto"/>
        <w:rPr>
          <w:rFonts w:cstheme="minorHAnsi"/>
          <w:b/>
          <w:bCs/>
          <w:sz w:val="28"/>
          <w:szCs w:val="28"/>
          <w:u w:val="single"/>
        </w:rPr>
      </w:pPr>
      <w:r w:rsidRPr="00323266">
        <w:rPr>
          <w:rFonts w:cstheme="minorHAnsi"/>
          <w:b/>
          <w:bCs/>
          <w:sz w:val="28"/>
          <w:szCs w:val="28"/>
          <w:u w:val="single"/>
        </w:rPr>
        <w:t>Customer Due Diligence (CDD)</w:t>
      </w:r>
    </w:p>
    <w:p w14:paraId="04825729" w14:textId="77777777" w:rsidR="009961EE" w:rsidRPr="00323266" w:rsidRDefault="009961EE" w:rsidP="00323266">
      <w:pPr>
        <w:spacing w:before="120" w:after="120" w:line="240" w:lineRule="auto"/>
        <w:rPr>
          <w:rFonts w:cstheme="minorHAnsi"/>
          <w:sz w:val="28"/>
          <w:szCs w:val="28"/>
        </w:rPr>
      </w:pPr>
      <w:r w:rsidRPr="00323266">
        <w:rPr>
          <w:rFonts w:cstheme="minorHAnsi"/>
          <w:sz w:val="28"/>
          <w:szCs w:val="28"/>
        </w:rPr>
        <w:t>Customer Due Diligence (CDD) is essential for managing risk, particularly when establishing new business relationships or conducting significant transactions.</w:t>
      </w:r>
    </w:p>
    <w:p w14:paraId="6AD9D214" w14:textId="7ED6BBC5" w:rsidR="009961EE" w:rsidRPr="00323266" w:rsidRDefault="009961EE" w:rsidP="00323266">
      <w:pPr>
        <w:spacing w:before="120" w:after="120" w:line="240" w:lineRule="auto"/>
        <w:rPr>
          <w:rFonts w:cstheme="minorHAnsi"/>
          <w:b/>
          <w:bCs/>
          <w:sz w:val="28"/>
          <w:szCs w:val="28"/>
          <w:u w:val="single"/>
        </w:rPr>
      </w:pPr>
      <w:r w:rsidRPr="00323266">
        <w:rPr>
          <w:rFonts w:cstheme="minorHAnsi"/>
          <w:b/>
          <w:bCs/>
          <w:sz w:val="28"/>
          <w:szCs w:val="28"/>
          <w:u w:val="single"/>
        </w:rPr>
        <w:lastRenderedPageBreak/>
        <w:t>CDD Procedures</w:t>
      </w:r>
    </w:p>
    <w:p w14:paraId="415D32D7" w14:textId="77777777" w:rsidR="009961EE" w:rsidRPr="00323266" w:rsidRDefault="009961EE" w:rsidP="00323266">
      <w:pPr>
        <w:spacing w:before="120" w:after="120" w:line="240" w:lineRule="auto"/>
        <w:rPr>
          <w:rFonts w:cstheme="minorHAnsi"/>
          <w:sz w:val="28"/>
          <w:szCs w:val="28"/>
        </w:rPr>
      </w:pPr>
      <w:r w:rsidRPr="00323266">
        <w:rPr>
          <w:rFonts w:cstheme="minorHAnsi"/>
          <w:sz w:val="28"/>
          <w:szCs w:val="28"/>
        </w:rPr>
        <w:t>The following steps will be undertaken to verify a customer’s identity and assess risk:</w:t>
      </w:r>
    </w:p>
    <w:p w14:paraId="613E13F4" w14:textId="77777777" w:rsidR="002F6A3F" w:rsidRPr="00323266" w:rsidRDefault="009961EE" w:rsidP="00323266">
      <w:pPr>
        <w:pStyle w:val="ListParagraph"/>
        <w:numPr>
          <w:ilvl w:val="0"/>
          <w:numId w:val="13"/>
        </w:numPr>
        <w:spacing w:before="120" w:after="120" w:line="240" w:lineRule="auto"/>
        <w:contextualSpacing w:val="0"/>
        <w:rPr>
          <w:rFonts w:cstheme="minorHAnsi"/>
          <w:sz w:val="28"/>
          <w:szCs w:val="28"/>
        </w:rPr>
      </w:pPr>
      <w:r w:rsidRPr="00323266">
        <w:rPr>
          <w:rFonts w:cstheme="minorHAnsi"/>
          <w:sz w:val="28"/>
          <w:szCs w:val="28"/>
        </w:rPr>
        <w:t>Collect and verify identity information.</w:t>
      </w:r>
    </w:p>
    <w:p w14:paraId="18CAC8FC" w14:textId="40FA6694" w:rsidR="009961EE" w:rsidRPr="00323266" w:rsidRDefault="009961EE" w:rsidP="00323266">
      <w:pPr>
        <w:pStyle w:val="ListParagraph"/>
        <w:numPr>
          <w:ilvl w:val="0"/>
          <w:numId w:val="13"/>
        </w:numPr>
        <w:spacing w:before="120" w:after="120" w:line="240" w:lineRule="auto"/>
        <w:contextualSpacing w:val="0"/>
        <w:rPr>
          <w:rFonts w:cstheme="minorHAnsi"/>
          <w:sz w:val="28"/>
          <w:szCs w:val="28"/>
        </w:rPr>
      </w:pPr>
      <w:r w:rsidRPr="00323266">
        <w:rPr>
          <w:rFonts w:cstheme="minorHAnsi"/>
          <w:sz w:val="28"/>
          <w:szCs w:val="28"/>
        </w:rPr>
        <w:t>Determine the customer’s risk profile based on activity, origin, and business purpose.</w:t>
      </w:r>
    </w:p>
    <w:p w14:paraId="368D379A" w14:textId="29D9EBD0" w:rsidR="009961EE" w:rsidRPr="00323266" w:rsidRDefault="009961EE" w:rsidP="00323266">
      <w:pPr>
        <w:pStyle w:val="ListParagraph"/>
        <w:numPr>
          <w:ilvl w:val="0"/>
          <w:numId w:val="13"/>
        </w:numPr>
        <w:spacing w:before="120" w:after="120" w:line="240" w:lineRule="auto"/>
        <w:contextualSpacing w:val="0"/>
        <w:rPr>
          <w:rFonts w:cstheme="minorHAnsi"/>
          <w:sz w:val="28"/>
          <w:szCs w:val="28"/>
        </w:rPr>
      </w:pPr>
      <w:r w:rsidRPr="00323266">
        <w:rPr>
          <w:rFonts w:cstheme="minorHAnsi"/>
          <w:sz w:val="28"/>
          <w:szCs w:val="28"/>
        </w:rPr>
        <w:t>Maintain records of all identification documents.</w:t>
      </w:r>
    </w:p>
    <w:p w14:paraId="683B02B8" w14:textId="2BC95E6A" w:rsidR="009961EE" w:rsidRPr="00323266" w:rsidRDefault="009961EE" w:rsidP="00323266">
      <w:pPr>
        <w:spacing w:before="120" w:after="120" w:line="240" w:lineRule="auto"/>
        <w:rPr>
          <w:rFonts w:cstheme="minorHAnsi"/>
          <w:b/>
          <w:bCs/>
          <w:sz w:val="28"/>
          <w:szCs w:val="28"/>
          <w:u w:val="single"/>
        </w:rPr>
      </w:pPr>
      <w:r w:rsidRPr="00323266">
        <w:rPr>
          <w:rFonts w:cstheme="minorHAnsi"/>
          <w:b/>
          <w:bCs/>
          <w:sz w:val="28"/>
          <w:szCs w:val="28"/>
          <w:u w:val="single"/>
        </w:rPr>
        <w:t>Identification Requirements</w:t>
      </w:r>
    </w:p>
    <w:p w14:paraId="3AE4493A" w14:textId="4807F0D0" w:rsidR="009961EE" w:rsidRPr="00323266" w:rsidRDefault="009961EE" w:rsidP="00323266">
      <w:pPr>
        <w:pStyle w:val="ListParagraph"/>
        <w:numPr>
          <w:ilvl w:val="0"/>
          <w:numId w:val="17"/>
        </w:numPr>
        <w:spacing w:before="120" w:after="120" w:line="240" w:lineRule="auto"/>
        <w:contextualSpacing w:val="0"/>
        <w:rPr>
          <w:rFonts w:cstheme="minorHAnsi"/>
          <w:sz w:val="28"/>
          <w:szCs w:val="28"/>
        </w:rPr>
      </w:pPr>
      <w:r w:rsidRPr="00323266">
        <w:rPr>
          <w:rFonts w:cstheme="minorHAnsi"/>
          <w:sz w:val="28"/>
          <w:szCs w:val="28"/>
        </w:rPr>
        <w:t>Individual Customers**: Must provide valid government-issued identification (e.g., passport, national ID) and proof of residential address.</w:t>
      </w:r>
    </w:p>
    <w:p w14:paraId="62D9FDA0" w14:textId="0C54D75F" w:rsidR="009961EE" w:rsidRPr="00323266" w:rsidRDefault="009961EE" w:rsidP="00323266">
      <w:pPr>
        <w:pStyle w:val="ListParagraph"/>
        <w:numPr>
          <w:ilvl w:val="0"/>
          <w:numId w:val="17"/>
        </w:numPr>
        <w:spacing w:before="120" w:after="120" w:line="240" w:lineRule="auto"/>
        <w:contextualSpacing w:val="0"/>
        <w:rPr>
          <w:rFonts w:cstheme="minorHAnsi"/>
          <w:sz w:val="28"/>
          <w:szCs w:val="28"/>
        </w:rPr>
      </w:pPr>
      <w:r w:rsidRPr="00323266">
        <w:rPr>
          <w:rFonts w:cstheme="minorHAnsi"/>
          <w:sz w:val="28"/>
          <w:szCs w:val="28"/>
        </w:rPr>
        <w:t>Corporate Customers**: Must submit registration documentation, such as certificates of incorporation, details of directors, and information on beneficial owners.</w:t>
      </w:r>
    </w:p>
    <w:p w14:paraId="4184227E" w14:textId="20B73FDC" w:rsidR="009961EE" w:rsidRPr="00323266" w:rsidRDefault="009961EE" w:rsidP="00323266">
      <w:pPr>
        <w:spacing w:before="120" w:after="120" w:line="240" w:lineRule="auto"/>
        <w:rPr>
          <w:rFonts w:cstheme="minorHAnsi"/>
          <w:b/>
          <w:bCs/>
          <w:sz w:val="28"/>
          <w:szCs w:val="28"/>
          <w:u w:val="single"/>
        </w:rPr>
      </w:pPr>
      <w:r w:rsidRPr="00323266">
        <w:rPr>
          <w:rFonts w:cstheme="minorHAnsi"/>
          <w:b/>
          <w:bCs/>
          <w:sz w:val="28"/>
          <w:szCs w:val="28"/>
          <w:u w:val="single"/>
        </w:rPr>
        <w:t>Enhanced Due Diligence (EDD)</w:t>
      </w:r>
    </w:p>
    <w:p w14:paraId="052C21AE" w14:textId="77777777" w:rsidR="009961EE" w:rsidRPr="00323266" w:rsidRDefault="009961EE" w:rsidP="00323266">
      <w:pPr>
        <w:spacing w:before="120" w:after="120" w:line="240" w:lineRule="auto"/>
        <w:rPr>
          <w:rFonts w:cstheme="minorHAnsi"/>
          <w:sz w:val="28"/>
          <w:szCs w:val="28"/>
        </w:rPr>
      </w:pPr>
      <w:r w:rsidRPr="00323266">
        <w:rPr>
          <w:rFonts w:cstheme="minorHAnsi"/>
          <w:sz w:val="28"/>
          <w:szCs w:val="28"/>
        </w:rPr>
        <w:t>For high-risk customers, such as Politically Exposed Persons (PEPs) or clients from high-risk jurisdictions, additional information will be collected. Enhanced Due Diligence includes:</w:t>
      </w:r>
    </w:p>
    <w:p w14:paraId="0914C4E4" w14:textId="3AD0803C" w:rsidR="009961EE" w:rsidRPr="00323266" w:rsidRDefault="009961EE" w:rsidP="00323266">
      <w:pPr>
        <w:pStyle w:val="ListParagraph"/>
        <w:numPr>
          <w:ilvl w:val="0"/>
          <w:numId w:val="21"/>
        </w:numPr>
        <w:spacing w:before="120" w:after="120" w:line="240" w:lineRule="auto"/>
        <w:contextualSpacing w:val="0"/>
        <w:rPr>
          <w:rFonts w:cstheme="minorHAnsi"/>
          <w:sz w:val="28"/>
          <w:szCs w:val="28"/>
        </w:rPr>
      </w:pPr>
      <w:r w:rsidRPr="00323266">
        <w:rPr>
          <w:rFonts w:cstheme="minorHAnsi"/>
          <w:sz w:val="28"/>
          <w:szCs w:val="28"/>
        </w:rPr>
        <w:t>Obtaining source of funds and source of wealth information.</w:t>
      </w:r>
    </w:p>
    <w:p w14:paraId="7CD20689" w14:textId="7A01D752" w:rsidR="009961EE" w:rsidRPr="00323266" w:rsidRDefault="009961EE" w:rsidP="00323266">
      <w:pPr>
        <w:pStyle w:val="ListParagraph"/>
        <w:numPr>
          <w:ilvl w:val="0"/>
          <w:numId w:val="21"/>
        </w:numPr>
        <w:spacing w:before="120" w:after="120" w:line="240" w:lineRule="auto"/>
        <w:contextualSpacing w:val="0"/>
        <w:rPr>
          <w:rFonts w:cstheme="minorHAnsi"/>
          <w:sz w:val="28"/>
          <w:szCs w:val="28"/>
        </w:rPr>
      </w:pPr>
      <w:r w:rsidRPr="00323266">
        <w:rPr>
          <w:rFonts w:cstheme="minorHAnsi"/>
          <w:sz w:val="28"/>
          <w:szCs w:val="28"/>
        </w:rPr>
        <w:t>Enhanced transaction monitoring.</w:t>
      </w:r>
    </w:p>
    <w:p w14:paraId="2051C050" w14:textId="3DF11638" w:rsidR="009961EE" w:rsidRPr="00323266" w:rsidRDefault="009961EE" w:rsidP="00323266">
      <w:pPr>
        <w:pStyle w:val="ListParagraph"/>
        <w:numPr>
          <w:ilvl w:val="0"/>
          <w:numId w:val="21"/>
        </w:numPr>
        <w:spacing w:before="120" w:after="120" w:line="240" w:lineRule="auto"/>
        <w:contextualSpacing w:val="0"/>
        <w:rPr>
          <w:rFonts w:cstheme="minorHAnsi"/>
          <w:sz w:val="28"/>
          <w:szCs w:val="28"/>
        </w:rPr>
      </w:pPr>
      <w:r w:rsidRPr="00323266">
        <w:rPr>
          <w:rFonts w:cstheme="minorHAnsi"/>
          <w:sz w:val="28"/>
          <w:szCs w:val="28"/>
        </w:rPr>
        <w:t>Senior management approval prior to onboarding.</w:t>
      </w:r>
    </w:p>
    <w:p w14:paraId="1D14372A" w14:textId="4A24E291" w:rsidR="009961EE" w:rsidRPr="00323266" w:rsidRDefault="009961EE" w:rsidP="00323266">
      <w:pPr>
        <w:spacing w:before="120" w:after="120" w:line="240" w:lineRule="auto"/>
        <w:rPr>
          <w:rFonts w:cstheme="minorHAnsi"/>
          <w:b/>
          <w:bCs/>
          <w:sz w:val="28"/>
          <w:szCs w:val="28"/>
          <w:u w:val="single"/>
        </w:rPr>
      </w:pPr>
      <w:r w:rsidRPr="00323266">
        <w:rPr>
          <w:rFonts w:cstheme="minorHAnsi"/>
          <w:b/>
          <w:bCs/>
          <w:sz w:val="28"/>
          <w:szCs w:val="28"/>
          <w:u w:val="single"/>
        </w:rPr>
        <w:t>Ongoing Due Diligence</w:t>
      </w:r>
    </w:p>
    <w:p w14:paraId="4F9AF5C8" w14:textId="64CB2FD0" w:rsidR="009961EE" w:rsidRPr="00323266" w:rsidRDefault="009961EE" w:rsidP="00323266">
      <w:pPr>
        <w:spacing w:before="120" w:after="120" w:line="240" w:lineRule="auto"/>
        <w:rPr>
          <w:rFonts w:cstheme="minorHAnsi"/>
          <w:sz w:val="28"/>
          <w:szCs w:val="28"/>
        </w:rPr>
      </w:pPr>
      <w:r w:rsidRPr="00323266">
        <w:rPr>
          <w:rFonts w:cstheme="minorHAnsi"/>
          <w:sz w:val="28"/>
          <w:szCs w:val="28"/>
        </w:rPr>
        <w:t>Globus Trading Inc. will perform regular due diligence for all active customers to identify and mitigate risks arising from changes in their profile or behavior.</w:t>
      </w:r>
    </w:p>
    <w:p w14:paraId="06D3E961" w14:textId="62309DBA" w:rsidR="009961EE" w:rsidRPr="00323266" w:rsidRDefault="009961EE" w:rsidP="00323266">
      <w:pPr>
        <w:spacing w:before="120" w:after="120" w:line="240" w:lineRule="auto"/>
        <w:rPr>
          <w:rFonts w:cstheme="minorHAnsi"/>
          <w:b/>
          <w:bCs/>
          <w:sz w:val="28"/>
          <w:szCs w:val="28"/>
          <w:u w:val="single"/>
        </w:rPr>
      </w:pPr>
      <w:r w:rsidRPr="00323266">
        <w:rPr>
          <w:rFonts w:cstheme="minorHAnsi"/>
          <w:b/>
          <w:bCs/>
          <w:sz w:val="28"/>
          <w:szCs w:val="28"/>
          <w:u w:val="single"/>
        </w:rPr>
        <w:t>Politically Exposed Persons (PEPs)</w:t>
      </w:r>
    </w:p>
    <w:p w14:paraId="245C26AA" w14:textId="77777777" w:rsidR="009961EE" w:rsidRPr="00323266" w:rsidRDefault="009961EE" w:rsidP="00323266">
      <w:pPr>
        <w:spacing w:before="120" w:after="120" w:line="240" w:lineRule="auto"/>
        <w:rPr>
          <w:rFonts w:cstheme="minorHAnsi"/>
          <w:sz w:val="28"/>
          <w:szCs w:val="28"/>
        </w:rPr>
      </w:pPr>
      <w:r w:rsidRPr="00323266">
        <w:rPr>
          <w:rFonts w:cstheme="minorHAnsi"/>
          <w:sz w:val="28"/>
          <w:szCs w:val="28"/>
        </w:rPr>
        <w:t>A PEP is an individual who holds a prominent public position or has close associations with high-ranking government officials. Given their access to resources, PEPs are subject to enhanced due diligence.</w:t>
      </w:r>
    </w:p>
    <w:p w14:paraId="1431BA22" w14:textId="20E29235" w:rsidR="009961EE" w:rsidRPr="00323266" w:rsidRDefault="009961EE" w:rsidP="00323266">
      <w:pPr>
        <w:spacing w:before="120" w:after="120" w:line="240" w:lineRule="auto"/>
        <w:rPr>
          <w:rFonts w:cstheme="minorHAnsi"/>
          <w:b/>
          <w:bCs/>
          <w:sz w:val="28"/>
          <w:szCs w:val="28"/>
          <w:u w:val="single"/>
        </w:rPr>
      </w:pPr>
      <w:r w:rsidRPr="00323266">
        <w:rPr>
          <w:rFonts w:cstheme="minorHAnsi"/>
          <w:b/>
          <w:bCs/>
          <w:sz w:val="28"/>
          <w:szCs w:val="28"/>
          <w:u w:val="single"/>
        </w:rPr>
        <w:t>Identification of PEPs</w:t>
      </w:r>
    </w:p>
    <w:p w14:paraId="52BE5655" w14:textId="77777777" w:rsidR="009961EE" w:rsidRPr="00323266" w:rsidRDefault="009961EE" w:rsidP="00323266">
      <w:pPr>
        <w:spacing w:before="120" w:after="120" w:line="240" w:lineRule="auto"/>
        <w:rPr>
          <w:rFonts w:cstheme="minorHAnsi"/>
          <w:sz w:val="28"/>
          <w:szCs w:val="28"/>
        </w:rPr>
      </w:pPr>
      <w:r w:rsidRPr="00323266">
        <w:rPr>
          <w:rFonts w:cstheme="minorHAnsi"/>
          <w:sz w:val="28"/>
          <w:szCs w:val="28"/>
        </w:rPr>
        <w:lastRenderedPageBreak/>
        <w:t>Globus Trading Inc. will utilize third-party screening tools to identify PEPs and their close associates. If a customer is identified as a PEP, EDD measures will be applied, including approval by senior management.</w:t>
      </w:r>
    </w:p>
    <w:p w14:paraId="332DF3C0" w14:textId="417A97A2" w:rsidR="009961EE" w:rsidRPr="00323266" w:rsidRDefault="009961EE" w:rsidP="00323266">
      <w:pPr>
        <w:spacing w:before="120" w:after="120" w:line="240" w:lineRule="auto"/>
        <w:rPr>
          <w:rFonts w:cstheme="minorHAnsi"/>
          <w:b/>
          <w:bCs/>
          <w:sz w:val="28"/>
          <w:szCs w:val="28"/>
          <w:u w:val="single"/>
        </w:rPr>
      </w:pPr>
      <w:r w:rsidRPr="00323266">
        <w:rPr>
          <w:rFonts w:cstheme="minorHAnsi"/>
          <w:b/>
          <w:bCs/>
          <w:sz w:val="28"/>
          <w:szCs w:val="28"/>
          <w:u w:val="single"/>
        </w:rPr>
        <w:t>Sanctions Screening</w:t>
      </w:r>
    </w:p>
    <w:p w14:paraId="0AFBB2B6" w14:textId="77777777" w:rsidR="009961EE" w:rsidRPr="00323266" w:rsidRDefault="009961EE" w:rsidP="00323266">
      <w:pPr>
        <w:spacing w:before="120" w:after="120" w:line="240" w:lineRule="auto"/>
        <w:rPr>
          <w:rFonts w:cstheme="minorHAnsi"/>
          <w:sz w:val="28"/>
          <w:szCs w:val="28"/>
        </w:rPr>
      </w:pPr>
      <w:r w:rsidRPr="00323266">
        <w:rPr>
          <w:rFonts w:cstheme="minorHAnsi"/>
          <w:sz w:val="28"/>
          <w:szCs w:val="28"/>
        </w:rPr>
        <w:t>Globus Trading Inc. complies with international sanctions by screening clients and transactions against relevant lists, including those from the United Nations, OFAC, and EU sanctions lists.</w:t>
      </w:r>
    </w:p>
    <w:p w14:paraId="25BF25E1" w14:textId="7F68FC39" w:rsidR="009961EE" w:rsidRPr="00323266" w:rsidRDefault="009961EE" w:rsidP="00323266">
      <w:pPr>
        <w:spacing w:before="120" w:after="120" w:line="240" w:lineRule="auto"/>
        <w:rPr>
          <w:rFonts w:cstheme="minorHAnsi"/>
          <w:b/>
          <w:bCs/>
          <w:sz w:val="28"/>
          <w:szCs w:val="28"/>
          <w:u w:val="single"/>
        </w:rPr>
      </w:pPr>
      <w:r w:rsidRPr="00323266">
        <w:rPr>
          <w:rFonts w:cstheme="minorHAnsi"/>
          <w:b/>
          <w:bCs/>
          <w:sz w:val="28"/>
          <w:szCs w:val="28"/>
          <w:u w:val="single"/>
        </w:rPr>
        <w:t>Screening Process</w:t>
      </w:r>
    </w:p>
    <w:p w14:paraId="311CE5CE" w14:textId="77777777" w:rsidR="009961EE" w:rsidRPr="00323266" w:rsidRDefault="009961EE" w:rsidP="00323266">
      <w:pPr>
        <w:spacing w:before="120" w:after="120" w:line="240" w:lineRule="auto"/>
        <w:rPr>
          <w:rFonts w:cstheme="minorHAnsi"/>
          <w:sz w:val="28"/>
          <w:szCs w:val="28"/>
        </w:rPr>
      </w:pPr>
      <w:r w:rsidRPr="00323266">
        <w:rPr>
          <w:rFonts w:cstheme="minorHAnsi"/>
          <w:sz w:val="28"/>
          <w:szCs w:val="28"/>
        </w:rPr>
        <w:t>All clients are screened:</w:t>
      </w:r>
    </w:p>
    <w:p w14:paraId="3CA8EB19" w14:textId="79A10EAA" w:rsidR="009961EE" w:rsidRPr="00323266" w:rsidRDefault="009961EE" w:rsidP="00323266">
      <w:pPr>
        <w:pStyle w:val="ListParagraph"/>
        <w:numPr>
          <w:ilvl w:val="0"/>
          <w:numId w:val="22"/>
        </w:numPr>
        <w:spacing w:before="120" w:after="120" w:line="240" w:lineRule="auto"/>
        <w:contextualSpacing w:val="0"/>
        <w:rPr>
          <w:rFonts w:cstheme="minorHAnsi"/>
          <w:sz w:val="28"/>
          <w:szCs w:val="28"/>
        </w:rPr>
      </w:pPr>
      <w:r w:rsidRPr="00323266">
        <w:rPr>
          <w:rFonts w:cstheme="minorHAnsi"/>
          <w:sz w:val="28"/>
          <w:szCs w:val="28"/>
        </w:rPr>
        <w:t>During onboarding.</w:t>
      </w:r>
    </w:p>
    <w:p w14:paraId="37500110" w14:textId="34C9B7D5" w:rsidR="009961EE" w:rsidRPr="00323266" w:rsidRDefault="009961EE" w:rsidP="00323266">
      <w:pPr>
        <w:pStyle w:val="ListParagraph"/>
        <w:numPr>
          <w:ilvl w:val="0"/>
          <w:numId w:val="22"/>
        </w:numPr>
        <w:spacing w:before="120" w:after="120" w:line="240" w:lineRule="auto"/>
        <w:contextualSpacing w:val="0"/>
        <w:rPr>
          <w:rFonts w:cstheme="minorHAnsi"/>
          <w:sz w:val="28"/>
          <w:szCs w:val="28"/>
        </w:rPr>
      </w:pPr>
      <w:r w:rsidRPr="00323266">
        <w:rPr>
          <w:rFonts w:cstheme="minorHAnsi"/>
          <w:sz w:val="28"/>
          <w:szCs w:val="28"/>
        </w:rPr>
        <w:t>At regular intervals for existing customers.</w:t>
      </w:r>
    </w:p>
    <w:p w14:paraId="13459AA2" w14:textId="098456BB" w:rsidR="009961EE" w:rsidRPr="00323266" w:rsidRDefault="009961EE" w:rsidP="00323266">
      <w:pPr>
        <w:pStyle w:val="ListParagraph"/>
        <w:numPr>
          <w:ilvl w:val="0"/>
          <w:numId w:val="22"/>
        </w:numPr>
        <w:spacing w:before="120" w:after="120" w:line="240" w:lineRule="auto"/>
        <w:contextualSpacing w:val="0"/>
        <w:rPr>
          <w:rFonts w:cstheme="minorHAnsi"/>
          <w:sz w:val="28"/>
          <w:szCs w:val="28"/>
        </w:rPr>
      </w:pPr>
      <w:r w:rsidRPr="00323266">
        <w:rPr>
          <w:rFonts w:cstheme="minorHAnsi"/>
          <w:sz w:val="28"/>
          <w:szCs w:val="28"/>
        </w:rPr>
        <w:t>Before processing any significant or high-risk transaction.</w:t>
      </w:r>
    </w:p>
    <w:p w14:paraId="5E4FABF2" w14:textId="76282A16" w:rsidR="009961EE" w:rsidRPr="00323266" w:rsidRDefault="009961EE" w:rsidP="00323266">
      <w:pPr>
        <w:spacing w:before="120" w:after="120" w:line="240" w:lineRule="auto"/>
        <w:rPr>
          <w:rFonts w:cstheme="minorHAnsi"/>
          <w:b/>
          <w:bCs/>
          <w:sz w:val="28"/>
          <w:szCs w:val="28"/>
          <w:u w:val="single"/>
        </w:rPr>
      </w:pPr>
      <w:r w:rsidRPr="00323266">
        <w:rPr>
          <w:rFonts w:cstheme="minorHAnsi"/>
          <w:b/>
          <w:bCs/>
          <w:sz w:val="28"/>
          <w:szCs w:val="28"/>
          <w:u w:val="single"/>
        </w:rPr>
        <w:t>Handling Positive Matches</w:t>
      </w:r>
    </w:p>
    <w:p w14:paraId="31844D8A" w14:textId="77777777" w:rsidR="009961EE" w:rsidRPr="00323266" w:rsidRDefault="009961EE" w:rsidP="00323266">
      <w:pPr>
        <w:spacing w:before="120" w:after="120" w:line="240" w:lineRule="auto"/>
        <w:rPr>
          <w:rFonts w:cstheme="minorHAnsi"/>
          <w:sz w:val="28"/>
          <w:szCs w:val="28"/>
        </w:rPr>
      </w:pPr>
      <w:r w:rsidRPr="00323266">
        <w:rPr>
          <w:rFonts w:cstheme="minorHAnsi"/>
          <w:sz w:val="28"/>
          <w:szCs w:val="28"/>
        </w:rPr>
        <w:t>If a positive match is found, the Compliance Officer will suspend the transaction and review the case to determine if further action, including reporting to regulatory authorities, is required.</w:t>
      </w:r>
    </w:p>
    <w:p w14:paraId="1F1801EC" w14:textId="0CEBCB0D" w:rsidR="009961EE" w:rsidRPr="00323266" w:rsidRDefault="009961EE" w:rsidP="00323266">
      <w:pPr>
        <w:spacing w:before="120" w:after="120" w:line="240" w:lineRule="auto"/>
        <w:rPr>
          <w:rFonts w:cstheme="minorHAnsi"/>
          <w:b/>
          <w:bCs/>
          <w:sz w:val="28"/>
          <w:szCs w:val="28"/>
          <w:u w:val="single"/>
        </w:rPr>
      </w:pPr>
      <w:r w:rsidRPr="00323266">
        <w:rPr>
          <w:rFonts w:cstheme="minorHAnsi"/>
          <w:b/>
          <w:bCs/>
          <w:sz w:val="28"/>
          <w:szCs w:val="28"/>
          <w:u w:val="single"/>
        </w:rPr>
        <w:t>Transaction Monitoring and Reporting</w:t>
      </w:r>
    </w:p>
    <w:p w14:paraId="0186E9B2" w14:textId="77777777" w:rsidR="009961EE" w:rsidRPr="00323266" w:rsidRDefault="009961EE" w:rsidP="00323266">
      <w:pPr>
        <w:spacing w:before="120" w:after="120" w:line="240" w:lineRule="auto"/>
        <w:rPr>
          <w:rFonts w:cstheme="minorHAnsi"/>
          <w:sz w:val="28"/>
          <w:szCs w:val="28"/>
        </w:rPr>
      </w:pPr>
      <w:r w:rsidRPr="00323266">
        <w:rPr>
          <w:rFonts w:cstheme="minorHAnsi"/>
          <w:sz w:val="28"/>
          <w:szCs w:val="28"/>
        </w:rPr>
        <w:t>To detect and prevent suspicious activity, Globus Trading Inc. employs automated and manual systems to monitor client transactions. These systems flag transactions that deviate from established patterns or exhibit high-risk indicators.</w:t>
      </w:r>
    </w:p>
    <w:p w14:paraId="74DCC463" w14:textId="2FFC7123" w:rsidR="009961EE" w:rsidRPr="00323266" w:rsidRDefault="009961EE" w:rsidP="00323266">
      <w:pPr>
        <w:spacing w:before="120" w:after="120" w:line="240" w:lineRule="auto"/>
        <w:rPr>
          <w:rFonts w:cstheme="minorHAnsi"/>
          <w:b/>
          <w:bCs/>
          <w:sz w:val="28"/>
          <w:szCs w:val="28"/>
          <w:u w:val="single"/>
        </w:rPr>
      </w:pPr>
      <w:r w:rsidRPr="00323266">
        <w:rPr>
          <w:rFonts w:cstheme="minorHAnsi"/>
          <w:b/>
          <w:bCs/>
          <w:sz w:val="28"/>
          <w:szCs w:val="28"/>
          <w:u w:val="single"/>
        </w:rPr>
        <w:t>Suspicious Transaction Indicators</w:t>
      </w:r>
    </w:p>
    <w:p w14:paraId="5466F6CC" w14:textId="77777777" w:rsidR="009961EE" w:rsidRPr="00323266" w:rsidRDefault="009961EE" w:rsidP="00323266">
      <w:pPr>
        <w:spacing w:before="120" w:after="120" w:line="240" w:lineRule="auto"/>
        <w:rPr>
          <w:rFonts w:cstheme="minorHAnsi"/>
          <w:sz w:val="28"/>
          <w:szCs w:val="28"/>
        </w:rPr>
      </w:pPr>
      <w:r w:rsidRPr="00323266">
        <w:rPr>
          <w:rFonts w:cstheme="minorHAnsi"/>
          <w:sz w:val="28"/>
          <w:szCs w:val="28"/>
        </w:rPr>
        <w:t>Suspicious activities include:</w:t>
      </w:r>
    </w:p>
    <w:p w14:paraId="0D16D6D7" w14:textId="57EC5FDB" w:rsidR="009961EE" w:rsidRPr="00323266" w:rsidRDefault="009961EE" w:rsidP="00323266">
      <w:pPr>
        <w:pStyle w:val="ListParagraph"/>
        <w:numPr>
          <w:ilvl w:val="0"/>
          <w:numId w:val="26"/>
        </w:numPr>
        <w:spacing w:before="120" w:after="120" w:line="240" w:lineRule="auto"/>
        <w:contextualSpacing w:val="0"/>
        <w:rPr>
          <w:rFonts w:cstheme="minorHAnsi"/>
          <w:sz w:val="28"/>
          <w:szCs w:val="28"/>
        </w:rPr>
      </w:pPr>
      <w:r w:rsidRPr="00323266">
        <w:rPr>
          <w:rFonts w:cstheme="minorHAnsi"/>
          <w:sz w:val="28"/>
          <w:szCs w:val="28"/>
        </w:rPr>
        <w:t>High-frequency, high-value trades that are inconsistent with the client’s profile.</w:t>
      </w:r>
    </w:p>
    <w:p w14:paraId="403CAAB5" w14:textId="2F6E387D" w:rsidR="009961EE" w:rsidRPr="00323266" w:rsidRDefault="009961EE" w:rsidP="00323266">
      <w:pPr>
        <w:pStyle w:val="ListParagraph"/>
        <w:numPr>
          <w:ilvl w:val="0"/>
          <w:numId w:val="26"/>
        </w:numPr>
        <w:spacing w:before="120" w:after="120" w:line="240" w:lineRule="auto"/>
        <w:contextualSpacing w:val="0"/>
        <w:rPr>
          <w:rFonts w:cstheme="minorHAnsi"/>
          <w:sz w:val="28"/>
          <w:szCs w:val="28"/>
        </w:rPr>
      </w:pPr>
      <w:r w:rsidRPr="00323266">
        <w:rPr>
          <w:rFonts w:cstheme="minorHAnsi"/>
          <w:sz w:val="28"/>
          <w:szCs w:val="28"/>
        </w:rPr>
        <w:t>Transactions involving high-risk countries or high-risk sectors.</w:t>
      </w:r>
    </w:p>
    <w:p w14:paraId="726DA8DC" w14:textId="4F086F94" w:rsidR="009961EE" w:rsidRPr="00323266" w:rsidRDefault="009961EE" w:rsidP="00323266">
      <w:pPr>
        <w:pStyle w:val="ListParagraph"/>
        <w:numPr>
          <w:ilvl w:val="0"/>
          <w:numId w:val="26"/>
        </w:numPr>
        <w:spacing w:before="120" w:after="120" w:line="240" w:lineRule="auto"/>
        <w:contextualSpacing w:val="0"/>
        <w:rPr>
          <w:rFonts w:cstheme="minorHAnsi"/>
          <w:sz w:val="28"/>
          <w:szCs w:val="28"/>
        </w:rPr>
      </w:pPr>
      <w:r w:rsidRPr="00323266">
        <w:rPr>
          <w:rFonts w:cstheme="minorHAnsi"/>
          <w:sz w:val="28"/>
          <w:szCs w:val="28"/>
        </w:rPr>
        <w:t>Any transaction that appears unusual, without a clear business purpose.</w:t>
      </w:r>
    </w:p>
    <w:p w14:paraId="6F20A68D" w14:textId="2F37AA24" w:rsidR="009961EE" w:rsidRPr="00323266" w:rsidRDefault="009961EE" w:rsidP="00323266">
      <w:pPr>
        <w:spacing w:before="120" w:after="120" w:line="240" w:lineRule="auto"/>
        <w:rPr>
          <w:rFonts w:cstheme="minorHAnsi"/>
          <w:b/>
          <w:bCs/>
          <w:sz w:val="28"/>
          <w:szCs w:val="28"/>
          <w:u w:val="single"/>
        </w:rPr>
      </w:pPr>
      <w:r w:rsidRPr="00323266">
        <w:rPr>
          <w:rFonts w:cstheme="minorHAnsi"/>
          <w:b/>
          <w:bCs/>
          <w:sz w:val="28"/>
          <w:szCs w:val="28"/>
          <w:u w:val="single"/>
        </w:rPr>
        <w:t>Reporting Procedures</w:t>
      </w:r>
    </w:p>
    <w:p w14:paraId="52A252F4" w14:textId="77777777" w:rsidR="009961EE" w:rsidRPr="00323266" w:rsidRDefault="009961EE" w:rsidP="00323266">
      <w:pPr>
        <w:spacing w:before="120" w:after="120" w:line="240" w:lineRule="auto"/>
        <w:rPr>
          <w:rFonts w:cstheme="minorHAnsi"/>
          <w:sz w:val="28"/>
          <w:szCs w:val="28"/>
        </w:rPr>
      </w:pPr>
      <w:r w:rsidRPr="00323266">
        <w:rPr>
          <w:rFonts w:cstheme="minorHAnsi"/>
          <w:sz w:val="28"/>
          <w:szCs w:val="28"/>
        </w:rPr>
        <w:lastRenderedPageBreak/>
        <w:t>All suspicious transactions are reported to the Compliance Officer, who will assess the need to file a Suspicious Transaction Report (STR) with regulatory authorities in Comoros.</w:t>
      </w:r>
    </w:p>
    <w:p w14:paraId="7A72C1AB" w14:textId="2ECFC583" w:rsidR="009961EE" w:rsidRPr="00323266" w:rsidRDefault="009961EE" w:rsidP="00323266">
      <w:pPr>
        <w:spacing w:before="120" w:after="120" w:line="240" w:lineRule="auto"/>
        <w:rPr>
          <w:rFonts w:cstheme="minorHAnsi"/>
          <w:b/>
          <w:bCs/>
          <w:sz w:val="28"/>
          <w:szCs w:val="28"/>
          <w:u w:val="single"/>
        </w:rPr>
      </w:pPr>
      <w:r w:rsidRPr="00323266">
        <w:rPr>
          <w:rFonts w:cstheme="minorHAnsi"/>
          <w:b/>
          <w:bCs/>
          <w:sz w:val="28"/>
          <w:szCs w:val="28"/>
          <w:u w:val="single"/>
        </w:rPr>
        <w:t>Record-Keeping and Documentation</w:t>
      </w:r>
    </w:p>
    <w:p w14:paraId="0D72822E" w14:textId="77777777" w:rsidR="009961EE" w:rsidRPr="00323266" w:rsidRDefault="009961EE" w:rsidP="00323266">
      <w:pPr>
        <w:spacing w:before="120" w:after="120" w:line="240" w:lineRule="auto"/>
        <w:rPr>
          <w:rFonts w:cstheme="minorHAnsi"/>
          <w:sz w:val="28"/>
          <w:szCs w:val="28"/>
        </w:rPr>
      </w:pPr>
      <w:r w:rsidRPr="00323266">
        <w:rPr>
          <w:rFonts w:cstheme="minorHAnsi"/>
          <w:sz w:val="28"/>
          <w:szCs w:val="28"/>
        </w:rPr>
        <w:t>Globus Trading Inc. maintains accurate and comprehensive records for all clients, transactions, and due diligence measures.</w:t>
      </w:r>
    </w:p>
    <w:p w14:paraId="738CCB9C" w14:textId="6D6454D2" w:rsidR="009961EE" w:rsidRPr="00323266" w:rsidRDefault="009961EE" w:rsidP="00323266">
      <w:pPr>
        <w:spacing w:before="120" w:after="120" w:line="240" w:lineRule="auto"/>
        <w:rPr>
          <w:rFonts w:cstheme="minorHAnsi"/>
          <w:b/>
          <w:bCs/>
          <w:sz w:val="28"/>
          <w:szCs w:val="28"/>
          <w:u w:val="single"/>
        </w:rPr>
      </w:pPr>
      <w:r w:rsidRPr="00323266">
        <w:rPr>
          <w:rFonts w:cstheme="minorHAnsi"/>
          <w:b/>
          <w:bCs/>
          <w:sz w:val="28"/>
          <w:szCs w:val="28"/>
          <w:u w:val="single"/>
        </w:rPr>
        <w:t>Record Types</w:t>
      </w:r>
    </w:p>
    <w:p w14:paraId="7B6C2651" w14:textId="77777777" w:rsidR="009961EE" w:rsidRPr="00323266" w:rsidRDefault="009961EE" w:rsidP="00323266">
      <w:pPr>
        <w:spacing w:before="120" w:after="120" w:line="240" w:lineRule="auto"/>
        <w:rPr>
          <w:rFonts w:cstheme="minorHAnsi"/>
          <w:sz w:val="28"/>
          <w:szCs w:val="28"/>
        </w:rPr>
      </w:pPr>
      <w:r w:rsidRPr="00323266">
        <w:rPr>
          <w:rFonts w:cstheme="minorHAnsi"/>
          <w:sz w:val="28"/>
          <w:szCs w:val="28"/>
        </w:rPr>
        <w:t>Records include:</w:t>
      </w:r>
    </w:p>
    <w:p w14:paraId="7F06DAFF" w14:textId="2FFE912C" w:rsidR="009961EE" w:rsidRPr="00323266" w:rsidRDefault="009961EE" w:rsidP="00323266">
      <w:pPr>
        <w:pStyle w:val="ListParagraph"/>
        <w:numPr>
          <w:ilvl w:val="0"/>
          <w:numId w:val="27"/>
        </w:numPr>
        <w:spacing w:before="120" w:after="120" w:line="240" w:lineRule="auto"/>
        <w:contextualSpacing w:val="0"/>
        <w:rPr>
          <w:rFonts w:cstheme="minorHAnsi"/>
          <w:sz w:val="28"/>
          <w:szCs w:val="28"/>
        </w:rPr>
      </w:pPr>
      <w:r w:rsidRPr="00323266">
        <w:rPr>
          <w:rFonts w:cstheme="minorHAnsi"/>
          <w:sz w:val="28"/>
          <w:szCs w:val="28"/>
        </w:rPr>
        <w:t>Identification documents.</w:t>
      </w:r>
    </w:p>
    <w:p w14:paraId="450C664B" w14:textId="51B9B26B" w:rsidR="009961EE" w:rsidRPr="00323266" w:rsidRDefault="009961EE" w:rsidP="00323266">
      <w:pPr>
        <w:pStyle w:val="ListParagraph"/>
        <w:numPr>
          <w:ilvl w:val="0"/>
          <w:numId w:val="27"/>
        </w:numPr>
        <w:spacing w:before="120" w:after="120" w:line="240" w:lineRule="auto"/>
        <w:contextualSpacing w:val="0"/>
        <w:rPr>
          <w:rFonts w:cstheme="minorHAnsi"/>
          <w:sz w:val="28"/>
          <w:szCs w:val="28"/>
        </w:rPr>
      </w:pPr>
      <w:r w:rsidRPr="00323266">
        <w:rPr>
          <w:rFonts w:cstheme="minorHAnsi"/>
          <w:sz w:val="28"/>
          <w:szCs w:val="28"/>
        </w:rPr>
        <w:t>Transaction history.</w:t>
      </w:r>
    </w:p>
    <w:p w14:paraId="07BD1641" w14:textId="28CDEA88" w:rsidR="009961EE" w:rsidRPr="00323266" w:rsidRDefault="009961EE" w:rsidP="00323266">
      <w:pPr>
        <w:pStyle w:val="ListParagraph"/>
        <w:numPr>
          <w:ilvl w:val="0"/>
          <w:numId w:val="27"/>
        </w:numPr>
        <w:spacing w:before="120" w:after="120" w:line="240" w:lineRule="auto"/>
        <w:contextualSpacing w:val="0"/>
        <w:rPr>
          <w:rFonts w:cstheme="minorHAnsi"/>
          <w:sz w:val="28"/>
          <w:szCs w:val="28"/>
        </w:rPr>
      </w:pPr>
      <w:r w:rsidRPr="00323266">
        <w:rPr>
          <w:rFonts w:cstheme="minorHAnsi"/>
          <w:sz w:val="28"/>
          <w:szCs w:val="28"/>
        </w:rPr>
        <w:t>STRs and any related correspondence.</w:t>
      </w:r>
    </w:p>
    <w:p w14:paraId="7C0B6844" w14:textId="1103B47C" w:rsidR="009961EE" w:rsidRPr="00323266" w:rsidRDefault="009961EE" w:rsidP="00323266">
      <w:pPr>
        <w:pStyle w:val="ListParagraph"/>
        <w:numPr>
          <w:ilvl w:val="0"/>
          <w:numId w:val="27"/>
        </w:numPr>
        <w:spacing w:before="120" w:after="120" w:line="240" w:lineRule="auto"/>
        <w:contextualSpacing w:val="0"/>
        <w:rPr>
          <w:rFonts w:cstheme="minorHAnsi"/>
          <w:sz w:val="28"/>
          <w:szCs w:val="28"/>
        </w:rPr>
      </w:pPr>
      <w:r w:rsidRPr="00323266">
        <w:rPr>
          <w:rFonts w:cstheme="minorHAnsi"/>
          <w:sz w:val="28"/>
          <w:szCs w:val="28"/>
        </w:rPr>
        <w:t>Training records.</w:t>
      </w:r>
    </w:p>
    <w:p w14:paraId="4DF41CF5" w14:textId="041E29A0" w:rsidR="009961EE" w:rsidRPr="00323266" w:rsidRDefault="009961EE" w:rsidP="00323266">
      <w:pPr>
        <w:spacing w:before="120" w:after="120" w:line="240" w:lineRule="auto"/>
        <w:rPr>
          <w:rFonts w:cstheme="minorHAnsi"/>
          <w:b/>
          <w:bCs/>
          <w:sz w:val="28"/>
          <w:szCs w:val="28"/>
          <w:u w:val="single"/>
        </w:rPr>
      </w:pPr>
      <w:r w:rsidRPr="00323266">
        <w:rPr>
          <w:rFonts w:cstheme="minorHAnsi"/>
          <w:b/>
          <w:bCs/>
          <w:sz w:val="28"/>
          <w:szCs w:val="28"/>
          <w:u w:val="single"/>
        </w:rPr>
        <w:t>Retention Period</w:t>
      </w:r>
    </w:p>
    <w:p w14:paraId="2907BC78" w14:textId="77777777" w:rsidR="009961EE" w:rsidRPr="00323266" w:rsidRDefault="009961EE" w:rsidP="00323266">
      <w:pPr>
        <w:spacing w:before="120" w:after="120" w:line="240" w:lineRule="auto"/>
        <w:rPr>
          <w:rFonts w:cstheme="minorHAnsi"/>
          <w:sz w:val="28"/>
          <w:szCs w:val="28"/>
        </w:rPr>
      </w:pPr>
      <w:r w:rsidRPr="00323266">
        <w:rPr>
          <w:rFonts w:cstheme="minorHAnsi"/>
          <w:sz w:val="28"/>
          <w:szCs w:val="28"/>
        </w:rPr>
        <w:t>Records will be retained for a minimum of five years following the conclusion of the business relationship or transaction.</w:t>
      </w:r>
    </w:p>
    <w:p w14:paraId="627C2E32" w14:textId="190314E8" w:rsidR="009961EE" w:rsidRPr="00323266" w:rsidRDefault="009961EE" w:rsidP="00323266">
      <w:pPr>
        <w:spacing w:before="120" w:after="120" w:line="240" w:lineRule="auto"/>
        <w:rPr>
          <w:rFonts w:cstheme="minorHAnsi"/>
          <w:b/>
          <w:bCs/>
          <w:sz w:val="28"/>
          <w:szCs w:val="28"/>
          <w:u w:val="single"/>
        </w:rPr>
      </w:pPr>
      <w:r w:rsidRPr="00323266">
        <w:rPr>
          <w:rFonts w:cstheme="minorHAnsi"/>
          <w:b/>
          <w:bCs/>
          <w:sz w:val="28"/>
          <w:szCs w:val="28"/>
          <w:u w:val="single"/>
        </w:rPr>
        <w:t>Employee Training</w:t>
      </w:r>
    </w:p>
    <w:p w14:paraId="4BD43891" w14:textId="77777777" w:rsidR="009961EE" w:rsidRPr="00323266" w:rsidRDefault="009961EE" w:rsidP="00323266">
      <w:pPr>
        <w:spacing w:before="120" w:after="120" w:line="240" w:lineRule="auto"/>
        <w:rPr>
          <w:rFonts w:cstheme="minorHAnsi"/>
          <w:sz w:val="28"/>
          <w:szCs w:val="28"/>
        </w:rPr>
      </w:pPr>
      <w:r w:rsidRPr="00323266">
        <w:rPr>
          <w:rFonts w:cstheme="minorHAnsi"/>
          <w:sz w:val="28"/>
          <w:szCs w:val="28"/>
        </w:rPr>
        <w:t>Employees are trained to recognize and report potential AML/CTF risks. Training is mandatory and includes:</w:t>
      </w:r>
    </w:p>
    <w:p w14:paraId="278AF283" w14:textId="3FBBDB65" w:rsidR="009961EE" w:rsidRPr="00323266" w:rsidRDefault="009961EE" w:rsidP="00323266">
      <w:pPr>
        <w:pStyle w:val="ListParagraph"/>
        <w:numPr>
          <w:ilvl w:val="0"/>
          <w:numId w:val="28"/>
        </w:numPr>
        <w:spacing w:before="120" w:after="120" w:line="240" w:lineRule="auto"/>
        <w:contextualSpacing w:val="0"/>
        <w:rPr>
          <w:rFonts w:cstheme="minorHAnsi"/>
          <w:sz w:val="28"/>
          <w:szCs w:val="28"/>
        </w:rPr>
      </w:pPr>
      <w:r w:rsidRPr="00323266">
        <w:rPr>
          <w:rFonts w:cstheme="minorHAnsi"/>
          <w:sz w:val="28"/>
          <w:szCs w:val="28"/>
        </w:rPr>
        <w:t>AML policy understanding and application.</w:t>
      </w:r>
    </w:p>
    <w:p w14:paraId="18864B48" w14:textId="3BCCCBDD" w:rsidR="009961EE" w:rsidRPr="00323266" w:rsidRDefault="009961EE" w:rsidP="00323266">
      <w:pPr>
        <w:pStyle w:val="ListParagraph"/>
        <w:numPr>
          <w:ilvl w:val="0"/>
          <w:numId w:val="28"/>
        </w:numPr>
        <w:spacing w:before="120" w:after="120" w:line="240" w:lineRule="auto"/>
        <w:contextualSpacing w:val="0"/>
        <w:rPr>
          <w:rFonts w:cstheme="minorHAnsi"/>
          <w:sz w:val="28"/>
          <w:szCs w:val="28"/>
        </w:rPr>
      </w:pPr>
      <w:r w:rsidRPr="00323266">
        <w:rPr>
          <w:rFonts w:cstheme="minorHAnsi"/>
          <w:sz w:val="28"/>
          <w:szCs w:val="28"/>
        </w:rPr>
        <w:t>Identification of suspicious transactions.</w:t>
      </w:r>
    </w:p>
    <w:p w14:paraId="7302CBC4" w14:textId="1E78C038" w:rsidR="009961EE" w:rsidRPr="00323266" w:rsidRDefault="009961EE" w:rsidP="00323266">
      <w:pPr>
        <w:pStyle w:val="ListParagraph"/>
        <w:numPr>
          <w:ilvl w:val="0"/>
          <w:numId w:val="28"/>
        </w:numPr>
        <w:spacing w:before="120" w:after="120" w:line="240" w:lineRule="auto"/>
        <w:contextualSpacing w:val="0"/>
        <w:rPr>
          <w:rFonts w:cstheme="minorHAnsi"/>
          <w:sz w:val="28"/>
          <w:szCs w:val="28"/>
        </w:rPr>
      </w:pPr>
      <w:r w:rsidRPr="00323266">
        <w:rPr>
          <w:rFonts w:cstheme="minorHAnsi"/>
          <w:sz w:val="28"/>
          <w:szCs w:val="28"/>
        </w:rPr>
        <w:t>Procedures for CDD, EDD, and sanctions screening.</w:t>
      </w:r>
    </w:p>
    <w:p w14:paraId="12ABCFFC" w14:textId="77777777" w:rsidR="009961EE" w:rsidRPr="00323266" w:rsidRDefault="009961EE" w:rsidP="00323266">
      <w:pPr>
        <w:spacing w:before="120" w:after="120" w:line="240" w:lineRule="auto"/>
        <w:rPr>
          <w:rFonts w:cstheme="minorHAnsi"/>
          <w:sz w:val="28"/>
          <w:szCs w:val="28"/>
        </w:rPr>
      </w:pPr>
      <w:r w:rsidRPr="00323266">
        <w:rPr>
          <w:rFonts w:cstheme="minorHAnsi"/>
          <w:sz w:val="28"/>
          <w:szCs w:val="28"/>
        </w:rPr>
        <w:t>Annual refresher courses are provided, and new hires undergo training during onboarding.</w:t>
      </w:r>
    </w:p>
    <w:p w14:paraId="56E4B344" w14:textId="7AE84D5B" w:rsidR="009961EE" w:rsidRPr="00323266" w:rsidRDefault="009961EE" w:rsidP="00323266">
      <w:pPr>
        <w:spacing w:before="120" w:after="120" w:line="240" w:lineRule="auto"/>
        <w:rPr>
          <w:rFonts w:cstheme="minorHAnsi"/>
          <w:b/>
          <w:bCs/>
          <w:sz w:val="28"/>
          <w:szCs w:val="28"/>
          <w:u w:val="single"/>
        </w:rPr>
      </w:pPr>
      <w:r w:rsidRPr="00323266">
        <w:rPr>
          <w:rFonts w:cstheme="minorHAnsi"/>
          <w:b/>
          <w:bCs/>
          <w:sz w:val="28"/>
          <w:szCs w:val="28"/>
          <w:u w:val="single"/>
        </w:rPr>
        <w:t>Whistleblower Protection</w:t>
      </w:r>
    </w:p>
    <w:p w14:paraId="7D8B6977" w14:textId="77777777" w:rsidR="009961EE" w:rsidRPr="00323266" w:rsidRDefault="009961EE" w:rsidP="00323266">
      <w:pPr>
        <w:spacing w:before="120" w:after="120" w:line="240" w:lineRule="auto"/>
        <w:rPr>
          <w:rFonts w:cstheme="minorHAnsi"/>
          <w:sz w:val="28"/>
          <w:szCs w:val="28"/>
        </w:rPr>
      </w:pPr>
      <w:r w:rsidRPr="00323266">
        <w:rPr>
          <w:rFonts w:cstheme="minorHAnsi"/>
          <w:sz w:val="28"/>
          <w:szCs w:val="28"/>
        </w:rPr>
        <w:t>Globus Trading Inc. encourages reporting of potential AML/CTF violations through a protected whistleblower policy.</w:t>
      </w:r>
    </w:p>
    <w:p w14:paraId="5E84AA85" w14:textId="187965CB" w:rsidR="009961EE" w:rsidRPr="00323266" w:rsidRDefault="009961EE" w:rsidP="00323266">
      <w:pPr>
        <w:spacing w:before="120" w:after="120" w:line="240" w:lineRule="auto"/>
        <w:rPr>
          <w:rFonts w:cstheme="minorHAnsi"/>
          <w:b/>
          <w:bCs/>
          <w:sz w:val="28"/>
          <w:szCs w:val="28"/>
          <w:u w:val="single"/>
        </w:rPr>
      </w:pPr>
      <w:r w:rsidRPr="00323266">
        <w:rPr>
          <w:rFonts w:cstheme="minorHAnsi"/>
          <w:b/>
          <w:bCs/>
          <w:sz w:val="28"/>
          <w:szCs w:val="28"/>
          <w:u w:val="single"/>
        </w:rPr>
        <w:t>Confidential Reporting</w:t>
      </w:r>
    </w:p>
    <w:p w14:paraId="228EA6DB" w14:textId="77777777" w:rsidR="009961EE" w:rsidRPr="00323266" w:rsidRDefault="009961EE" w:rsidP="00323266">
      <w:pPr>
        <w:spacing w:before="120" w:after="120" w:line="240" w:lineRule="auto"/>
        <w:rPr>
          <w:rFonts w:cstheme="minorHAnsi"/>
          <w:sz w:val="28"/>
          <w:szCs w:val="28"/>
        </w:rPr>
      </w:pPr>
      <w:r w:rsidRPr="00323266">
        <w:rPr>
          <w:rFonts w:cstheme="minorHAnsi"/>
          <w:sz w:val="28"/>
          <w:szCs w:val="28"/>
        </w:rPr>
        <w:lastRenderedPageBreak/>
        <w:t>Employees and third parties can report AML/CTF concerns confidentially and without fear of retaliation. Reports may be submitted to the Compliance Officer or through a secure, anonymous reporting system.</w:t>
      </w:r>
    </w:p>
    <w:p w14:paraId="0AEEFA68" w14:textId="11F706F7" w:rsidR="009961EE" w:rsidRPr="00323266" w:rsidRDefault="009961EE" w:rsidP="00323266">
      <w:pPr>
        <w:spacing w:before="120" w:after="120" w:line="240" w:lineRule="auto"/>
        <w:rPr>
          <w:rFonts w:cstheme="minorHAnsi"/>
          <w:b/>
          <w:bCs/>
          <w:sz w:val="28"/>
          <w:szCs w:val="28"/>
          <w:u w:val="single"/>
        </w:rPr>
      </w:pPr>
      <w:r w:rsidRPr="00323266">
        <w:rPr>
          <w:rFonts w:cstheme="minorHAnsi"/>
          <w:b/>
          <w:bCs/>
          <w:sz w:val="28"/>
          <w:szCs w:val="28"/>
          <w:u w:val="single"/>
        </w:rPr>
        <w:t>Investigation and Follow-Up</w:t>
      </w:r>
    </w:p>
    <w:p w14:paraId="0D092C0B" w14:textId="77777777" w:rsidR="009961EE" w:rsidRPr="00323266" w:rsidRDefault="009961EE" w:rsidP="00323266">
      <w:pPr>
        <w:spacing w:before="120" w:after="120" w:line="240" w:lineRule="auto"/>
        <w:rPr>
          <w:rFonts w:cstheme="minorHAnsi"/>
          <w:sz w:val="28"/>
          <w:szCs w:val="28"/>
        </w:rPr>
      </w:pPr>
      <w:r w:rsidRPr="00323266">
        <w:rPr>
          <w:rFonts w:cstheme="minorHAnsi"/>
          <w:sz w:val="28"/>
          <w:szCs w:val="28"/>
        </w:rPr>
        <w:t>All whistleblower reports are thoroughly investigated, and corrective action is taken as necessary.</w:t>
      </w:r>
    </w:p>
    <w:p w14:paraId="74B7903C" w14:textId="1AF95167" w:rsidR="009961EE" w:rsidRPr="00323266" w:rsidRDefault="009961EE" w:rsidP="00323266">
      <w:pPr>
        <w:spacing w:before="120" w:after="120" w:line="240" w:lineRule="auto"/>
        <w:rPr>
          <w:rFonts w:cstheme="minorHAnsi"/>
          <w:b/>
          <w:bCs/>
          <w:sz w:val="28"/>
          <w:szCs w:val="28"/>
          <w:u w:val="single"/>
        </w:rPr>
      </w:pPr>
      <w:r w:rsidRPr="00323266">
        <w:rPr>
          <w:rFonts w:cstheme="minorHAnsi"/>
          <w:b/>
          <w:bCs/>
          <w:sz w:val="28"/>
          <w:szCs w:val="28"/>
          <w:u w:val="single"/>
        </w:rPr>
        <w:t>International Compliance</w:t>
      </w:r>
    </w:p>
    <w:p w14:paraId="4B4E7470" w14:textId="77777777" w:rsidR="009961EE" w:rsidRPr="00323266" w:rsidRDefault="009961EE" w:rsidP="00323266">
      <w:pPr>
        <w:spacing w:before="120" w:after="120" w:line="240" w:lineRule="auto"/>
        <w:rPr>
          <w:rFonts w:cstheme="minorHAnsi"/>
          <w:sz w:val="28"/>
          <w:szCs w:val="28"/>
        </w:rPr>
      </w:pPr>
      <w:r w:rsidRPr="00323266">
        <w:rPr>
          <w:rFonts w:cstheme="minorHAnsi"/>
          <w:sz w:val="28"/>
          <w:szCs w:val="28"/>
        </w:rPr>
        <w:t>Globus Trading Inc. is committed to complying with international AML/CTF standards, including those established by the FATF. The company applies global best practices to ensure cross-border compliance, particularly when dealing with foreign clients or jurisdictions.</w:t>
      </w:r>
    </w:p>
    <w:p w14:paraId="758C7F6D" w14:textId="218E0E82" w:rsidR="009961EE" w:rsidRPr="00323266" w:rsidRDefault="009961EE" w:rsidP="00323266">
      <w:pPr>
        <w:spacing w:before="120" w:after="120" w:line="240" w:lineRule="auto"/>
        <w:rPr>
          <w:rFonts w:cstheme="minorHAnsi"/>
          <w:b/>
          <w:bCs/>
          <w:sz w:val="28"/>
          <w:szCs w:val="28"/>
          <w:u w:val="single"/>
        </w:rPr>
      </w:pPr>
      <w:r w:rsidRPr="00323266">
        <w:rPr>
          <w:rFonts w:cstheme="minorHAnsi"/>
          <w:b/>
          <w:bCs/>
          <w:sz w:val="28"/>
          <w:szCs w:val="28"/>
          <w:u w:val="single"/>
        </w:rPr>
        <w:t>Foreign Jurisdiction Considerations</w:t>
      </w:r>
    </w:p>
    <w:p w14:paraId="2A015ECD" w14:textId="77777777" w:rsidR="009961EE" w:rsidRPr="00323266" w:rsidRDefault="009961EE" w:rsidP="00323266">
      <w:pPr>
        <w:spacing w:before="120" w:after="120" w:line="240" w:lineRule="auto"/>
        <w:rPr>
          <w:rFonts w:cstheme="minorHAnsi"/>
          <w:sz w:val="28"/>
          <w:szCs w:val="28"/>
        </w:rPr>
      </w:pPr>
      <w:r w:rsidRPr="00323266">
        <w:rPr>
          <w:rFonts w:cstheme="minorHAnsi"/>
          <w:sz w:val="28"/>
          <w:szCs w:val="28"/>
        </w:rPr>
        <w:t>When operating or serving clients in foreign jurisdictions, the company will adhere to the highest applicable standards of AML compliance and apply necessary enhanced due diligence.</w:t>
      </w:r>
    </w:p>
    <w:p w14:paraId="3F3E7C05" w14:textId="010F56BA" w:rsidR="009961EE" w:rsidRPr="00323266" w:rsidRDefault="009961EE" w:rsidP="00323266">
      <w:pPr>
        <w:spacing w:before="120" w:after="120" w:line="240" w:lineRule="auto"/>
        <w:rPr>
          <w:rFonts w:cstheme="minorHAnsi"/>
          <w:b/>
          <w:bCs/>
          <w:sz w:val="28"/>
          <w:szCs w:val="28"/>
          <w:u w:val="single"/>
        </w:rPr>
      </w:pPr>
      <w:r w:rsidRPr="00323266">
        <w:rPr>
          <w:rFonts w:cstheme="minorHAnsi"/>
          <w:b/>
          <w:bCs/>
          <w:sz w:val="28"/>
          <w:szCs w:val="28"/>
          <w:u w:val="single"/>
        </w:rPr>
        <w:t>Internal Audits and Policy Review</w:t>
      </w:r>
    </w:p>
    <w:p w14:paraId="41096D34" w14:textId="781FFD40" w:rsidR="009961EE" w:rsidRPr="00323266" w:rsidRDefault="009961EE" w:rsidP="00323266">
      <w:pPr>
        <w:spacing w:before="120" w:after="120" w:line="240" w:lineRule="auto"/>
        <w:rPr>
          <w:rFonts w:cstheme="minorHAnsi"/>
          <w:sz w:val="28"/>
          <w:szCs w:val="28"/>
        </w:rPr>
      </w:pPr>
      <w:r w:rsidRPr="00323266">
        <w:rPr>
          <w:rFonts w:cstheme="minorHAnsi"/>
          <w:sz w:val="28"/>
          <w:szCs w:val="28"/>
        </w:rPr>
        <w:t>Audit Schedule</w:t>
      </w:r>
      <w:r w:rsidR="00323266" w:rsidRPr="00323266">
        <w:rPr>
          <w:rFonts w:cstheme="minorHAnsi"/>
          <w:sz w:val="28"/>
          <w:szCs w:val="28"/>
        </w:rPr>
        <w:t>: a</w:t>
      </w:r>
      <w:r w:rsidRPr="00323266">
        <w:rPr>
          <w:rFonts w:cstheme="minorHAnsi"/>
          <w:sz w:val="28"/>
          <w:szCs w:val="28"/>
        </w:rPr>
        <w:t>n independent audit of the AML Policy is conducted annually to assess effectiveness and compliance.</w:t>
      </w:r>
    </w:p>
    <w:p w14:paraId="59B50E0E" w14:textId="7E437C11" w:rsidR="009961EE" w:rsidRPr="00323266" w:rsidRDefault="009961EE" w:rsidP="00323266">
      <w:pPr>
        <w:spacing w:before="120" w:after="120" w:line="240" w:lineRule="auto"/>
        <w:rPr>
          <w:rFonts w:cstheme="minorHAnsi"/>
          <w:b/>
          <w:bCs/>
          <w:sz w:val="28"/>
          <w:szCs w:val="28"/>
          <w:u w:val="single"/>
        </w:rPr>
      </w:pPr>
      <w:r w:rsidRPr="00323266">
        <w:rPr>
          <w:rFonts w:cstheme="minorHAnsi"/>
          <w:b/>
          <w:bCs/>
          <w:sz w:val="28"/>
          <w:szCs w:val="28"/>
          <w:u w:val="single"/>
        </w:rPr>
        <w:t>Policy Amendments</w:t>
      </w:r>
    </w:p>
    <w:p w14:paraId="11E90F12" w14:textId="77777777" w:rsidR="009961EE" w:rsidRPr="00323266" w:rsidRDefault="009961EE" w:rsidP="00323266">
      <w:pPr>
        <w:spacing w:before="120" w:after="120" w:line="240" w:lineRule="auto"/>
        <w:rPr>
          <w:rFonts w:cstheme="minorHAnsi"/>
          <w:sz w:val="28"/>
          <w:szCs w:val="28"/>
        </w:rPr>
      </w:pPr>
      <w:r w:rsidRPr="00323266">
        <w:rPr>
          <w:rFonts w:cstheme="minorHAnsi"/>
          <w:sz w:val="28"/>
          <w:szCs w:val="28"/>
        </w:rPr>
        <w:t>This policy is reviewed and updated as required to adapt to regulatory changes or audit findings, with final approval from senior management.</w:t>
      </w:r>
    </w:p>
    <w:p w14:paraId="6DD0EF71" w14:textId="7DF188C8" w:rsidR="009961EE" w:rsidRPr="00323266" w:rsidRDefault="009961EE" w:rsidP="00323266">
      <w:pPr>
        <w:spacing w:before="120" w:after="120" w:line="240" w:lineRule="auto"/>
        <w:rPr>
          <w:rFonts w:cstheme="minorHAnsi"/>
          <w:b/>
          <w:bCs/>
          <w:sz w:val="28"/>
          <w:szCs w:val="28"/>
          <w:u w:val="single"/>
        </w:rPr>
      </w:pPr>
      <w:r w:rsidRPr="00323266">
        <w:rPr>
          <w:rFonts w:cstheme="minorHAnsi"/>
          <w:b/>
          <w:bCs/>
          <w:sz w:val="28"/>
          <w:szCs w:val="28"/>
          <w:u w:val="single"/>
        </w:rPr>
        <w:t>Penalties and Consequences for Non-Compliance</w:t>
      </w:r>
    </w:p>
    <w:p w14:paraId="2E9C040F" w14:textId="77777777" w:rsidR="009961EE" w:rsidRPr="00323266" w:rsidRDefault="009961EE" w:rsidP="00323266">
      <w:pPr>
        <w:spacing w:before="120" w:after="120" w:line="240" w:lineRule="auto"/>
        <w:rPr>
          <w:rFonts w:cstheme="minorHAnsi"/>
          <w:sz w:val="28"/>
          <w:szCs w:val="28"/>
        </w:rPr>
      </w:pPr>
      <w:r w:rsidRPr="00323266">
        <w:rPr>
          <w:rFonts w:cstheme="minorHAnsi"/>
          <w:sz w:val="28"/>
          <w:szCs w:val="28"/>
        </w:rPr>
        <w:t>Failure to comply with the AML Policy may result in disciplinary actions, including termination of employment, financial penalties, or prosecution, depending on the severity of the violation.</w:t>
      </w:r>
    </w:p>
    <w:p w14:paraId="2EDB6D8C" w14:textId="7954C711" w:rsidR="009961EE" w:rsidRPr="00323266" w:rsidRDefault="009961EE" w:rsidP="00323266">
      <w:pPr>
        <w:spacing w:before="120" w:after="120" w:line="240" w:lineRule="auto"/>
        <w:rPr>
          <w:rFonts w:cstheme="minorHAnsi"/>
          <w:b/>
          <w:bCs/>
          <w:sz w:val="28"/>
          <w:szCs w:val="28"/>
          <w:u w:val="single"/>
        </w:rPr>
      </w:pPr>
      <w:r w:rsidRPr="00323266">
        <w:rPr>
          <w:rFonts w:cstheme="minorHAnsi"/>
          <w:b/>
          <w:bCs/>
          <w:sz w:val="28"/>
          <w:szCs w:val="28"/>
          <w:u w:val="single"/>
        </w:rPr>
        <w:t>Approval and Acknowledgment</w:t>
      </w:r>
    </w:p>
    <w:p w14:paraId="191B58A8" w14:textId="77777777" w:rsidR="009961EE" w:rsidRPr="00323266" w:rsidRDefault="009961EE" w:rsidP="00323266">
      <w:pPr>
        <w:spacing w:before="120" w:after="120" w:line="240" w:lineRule="auto"/>
        <w:rPr>
          <w:rFonts w:cstheme="minorHAnsi"/>
          <w:sz w:val="28"/>
          <w:szCs w:val="28"/>
        </w:rPr>
      </w:pPr>
      <w:r w:rsidRPr="00323266">
        <w:rPr>
          <w:rFonts w:cstheme="minorHAnsi"/>
          <w:sz w:val="28"/>
          <w:szCs w:val="28"/>
        </w:rPr>
        <w:t>All employees must read, understand, and formally acknowledge this AML Policy.</w:t>
      </w:r>
    </w:p>
    <w:p w14:paraId="4924F727" w14:textId="77777777" w:rsidR="009961EE" w:rsidRPr="00323266" w:rsidRDefault="009961EE" w:rsidP="00323266">
      <w:pPr>
        <w:spacing w:before="120" w:after="120" w:line="240" w:lineRule="auto"/>
        <w:rPr>
          <w:rFonts w:cstheme="minorHAnsi"/>
          <w:sz w:val="28"/>
          <w:szCs w:val="28"/>
        </w:rPr>
      </w:pPr>
    </w:p>
    <w:p w14:paraId="6E900D0E" w14:textId="28A5E4B1" w:rsidR="00EC7B66" w:rsidRPr="00323266" w:rsidRDefault="00EC7B66" w:rsidP="00323266">
      <w:pPr>
        <w:spacing w:before="120" w:after="120" w:line="240" w:lineRule="auto"/>
        <w:rPr>
          <w:rFonts w:cstheme="minorHAnsi"/>
          <w:sz w:val="28"/>
          <w:szCs w:val="28"/>
        </w:rPr>
      </w:pPr>
    </w:p>
    <w:sectPr w:rsidR="00EC7B66" w:rsidRPr="0032326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08BDE" w14:textId="77777777" w:rsidR="00E55DC6" w:rsidRDefault="00E55DC6" w:rsidP="009961EE">
      <w:pPr>
        <w:spacing w:after="0" w:line="240" w:lineRule="auto"/>
      </w:pPr>
      <w:r>
        <w:separator/>
      </w:r>
    </w:p>
  </w:endnote>
  <w:endnote w:type="continuationSeparator" w:id="0">
    <w:p w14:paraId="45B0F15A" w14:textId="77777777" w:rsidR="00E55DC6" w:rsidRDefault="00E55DC6" w:rsidP="00996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7E473" w14:textId="77777777" w:rsidR="00CA1E6B" w:rsidRDefault="00CA1E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528FE" w14:textId="77777777" w:rsidR="00A845DF" w:rsidRDefault="00A845DF" w:rsidP="00B04051">
    <w:pPr>
      <w:pStyle w:val="Heading2"/>
      <w:shd w:val="clear" w:color="auto" w:fill="FFFFFF"/>
      <w:spacing w:before="0" w:beforeAutospacing="0" w:after="0" w:afterAutospacing="0" w:line="240" w:lineRule="atLeast"/>
      <w:jc w:val="center"/>
      <w:textAlignment w:val="baseline"/>
      <w:rPr>
        <w:rFonts w:ascii="Open Sans" w:hAnsi="Open Sans" w:cs="Open Sans"/>
        <w:color w:val="333333"/>
        <w:spacing w:val="15"/>
        <w:sz w:val="30"/>
        <w:szCs w:val="30"/>
      </w:rPr>
    </w:pPr>
  </w:p>
  <w:p w14:paraId="1DBCC33E" w14:textId="79F48A50" w:rsidR="00B04051" w:rsidRPr="00A845DF" w:rsidRDefault="00B04051" w:rsidP="00B04051">
    <w:pPr>
      <w:pStyle w:val="Heading2"/>
      <w:shd w:val="clear" w:color="auto" w:fill="FFFFFF"/>
      <w:spacing w:before="0" w:beforeAutospacing="0" w:after="0" w:afterAutospacing="0" w:line="240" w:lineRule="atLeast"/>
      <w:jc w:val="center"/>
      <w:textAlignment w:val="baseline"/>
      <w:rPr>
        <w:rFonts w:asciiTheme="minorHAnsi" w:hAnsiTheme="minorHAnsi" w:cstheme="minorHAnsi"/>
        <w:color w:val="333333"/>
        <w:spacing w:val="15"/>
        <w:sz w:val="22"/>
        <w:szCs w:val="22"/>
      </w:rPr>
    </w:pPr>
    <w:r w:rsidRPr="00A845DF">
      <w:rPr>
        <w:rFonts w:asciiTheme="minorHAnsi" w:hAnsiTheme="minorHAnsi" w:cstheme="minorHAnsi"/>
        <w:color w:val="333333"/>
        <w:spacing w:val="15"/>
        <w:sz w:val="22"/>
        <w:szCs w:val="22"/>
      </w:rPr>
      <w:t>Globus Trading</w:t>
    </w:r>
    <w:r w:rsidR="00E20877">
      <w:rPr>
        <w:rFonts w:asciiTheme="minorHAnsi" w:hAnsiTheme="minorHAnsi" w:cstheme="minorHAnsi"/>
        <w:color w:val="333333"/>
        <w:spacing w:val="15"/>
        <w:sz w:val="22"/>
        <w:szCs w:val="22"/>
      </w:rPr>
      <w:t xml:space="preserve"> Inc</w:t>
    </w:r>
  </w:p>
  <w:p w14:paraId="6ACA1190" w14:textId="43863B08" w:rsidR="00B04051" w:rsidRPr="00A845DF" w:rsidRDefault="00B04051" w:rsidP="00E20877">
    <w:pPr>
      <w:pStyle w:val="p2"/>
      <w:shd w:val="clear" w:color="auto" w:fill="FFFFFF"/>
      <w:spacing w:before="0" w:beforeAutospacing="0" w:after="0" w:afterAutospacing="0"/>
      <w:jc w:val="center"/>
      <w:textAlignment w:val="baseline"/>
      <w:rPr>
        <w:rFonts w:asciiTheme="minorHAnsi" w:hAnsiTheme="minorHAnsi" w:cstheme="minorHAnsi"/>
        <w:b/>
        <w:bCs/>
        <w:color w:val="0C71C3"/>
        <w:spacing w:val="15"/>
        <w:sz w:val="22"/>
        <w:szCs w:val="22"/>
      </w:rPr>
    </w:pPr>
    <w:r w:rsidRPr="00A845DF">
      <w:rPr>
        <w:rStyle w:val="Strong"/>
        <w:rFonts w:asciiTheme="minorHAnsi" w:hAnsiTheme="minorHAnsi" w:cstheme="minorHAnsi"/>
        <w:color w:val="0C71C3"/>
        <w:spacing w:val="15"/>
        <w:sz w:val="22"/>
        <w:szCs w:val="22"/>
        <w:bdr w:val="none" w:sz="0" w:space="0" w:color="auto" w:frame="1"/>
      </w:rPr>
      <w:t>Registration Number:</w:t>
    </w:r>
    <w:r w:rsidRPr="00A845DF">
      <w:rPr>
        <w:rFonts w:asciiTheme="minorHAnsi" w:hAnsiTheme="minorHAnsi" w:cstheme="minorHAnsi"/>
        <w:b/>
        <w:bCs/>
        <w:color w:val="0C71C3"/>
        <w:spacing w:val="15"/>
        <w:sz w:val="22"/>
        <w:szCs w:val="22"/>
      </w:rPr>
      <w:t> HT00324021</w:t>
    </w:r>
    <w:r w:rsidR="00E20877">
      <w:rPr>
        <w:rFonts w:asciiTheme="minorHAnsi" w:hAnsiTheme="minorHAnsi" w:cstheme="minorHAnsi"/>
        <w:b/>
        <w:bCs/>
        <w:color w:val="0C71C3"/>
        <w:spacing w:val="15"/>
        <w:sz w:val="22"/>
        <w:szCs w:val="22"/>
      </w:rPr>
      <w:t xml:space="preserve"> </w:t>
    </w:r>
    <w:r w:rsidRPr="00A845DF">
      <w:rPr>
        <w:rStyle w:val="Strong"/>
        <w:rFonts w:asciiTheme="minorHAnsi" w:hAnsiTheme="minorHAnsi" w:cstheme="minorHAnsi"/>
        <w:color w:val="0C71C3"/>
        <w:spacing w:val="15"/>
        <w:sz w:val="22"/>
        <w:szCs w:val="22"/>
        <w:bdr w:val="none" w:sz="0" w:space="0" w:color="auto" w:frame="1"/>
      </w:rPr>
      <w:t>license Number:</w:t>
    </w:r>
    <w:r w:rsidRPr="00A845DF">
      <w:rPr>
        <w:rFonts w:asciiTheme="minorHAnsi" w:hAnsiTheme="minorHAnsi" w:cstheme="minorHAnsi"/>
        <w:b/>
        <w:bCs/>
        <w:color w:val="0C71C3"/>
        <w:spacing w:val="15"/>
        <w:sz w:val="22"/>
        <w:szCs w:val="22"/>
      </w:rPr>
      <w:t> BFX2024059</w:t>
    </w:r>
  </w:p>
  <w:p w14:paraId="6510AE08" w14:textId="77777777" w:rsidR="00B04051" w:rsidRPr="00A845DF" w:rsidRDefault="00B04051" w:rsidP="00B04051">
    <w:pPr>
      <w:pStyle w:val="p2"/>
      <w:shd w:val="clear" w:color="auto" w:fill="FFFFFF"/>
      <w:spacing w:before="0" w:beforeAutospacing="0" w:after="0" w:afterAutospacing="0"/>
      <w:jc w:val="center"/>
      <w:textAlignment w:val="baseline"/>
      <w:rPr>
        <w:rFonts w:asciiTheme="minorHAnsi" w:hAnsiTheme="minorHAnsi" w:cstheme="minorHAnsi"/>
        <w:b/>
        <w:bCs/>
        <w:color w:val="0C71C3"/>
        <w:spacing w:val="15"/>
        <w:sz w:val="22"/>
        <w:szCs w:val="22"/>
      </w:rPr>
    </w:pPr>
    <w:r w:rsidRPr="00A845DF">
      <w:rPr>
        <w:rStyle w:val="Strong"/>
        <w:rFonts w:asciiTheme="minorHAnsi" w:hAnsiTheme="minorHAnsi" w:cstheme="minorHAnsi"/>
        <w:color w:val="0C71C3"/>
        <w:spacing w:val="15"/>
        <w:sz w:val="22"/>
        <w:szCs w:val="22"/>
        <w:bdr w:val="none" w:sz="0" w:space="0" w:color="auto" w:frame="1"/>
      </w:rPr>
      <w:t>Registered Office:</w:t>
    </w:r>
    <w:r w:rsidRPr="00A845DF">
      <w:rPr>
        <w:rFonts w:asciiTheme="minorHAnsi" w:hAnsiTheme="minorHAnsi" w:cstheme="minorHAnsi"/>
        <w:b/>
        <w:bCs/>
        <w:color w:val="0C71C3"/>
        <w:spacing w:val="15"/>
        <w:sz w:val="22"/>
        <w:szCs w:val="22"/>
      </w:rPr>
      <w:t> Bonovo Road – Fomboni Island of Mohéli – Comoros Union</w:t>
    </w:r>
  </w:p>
  <w:p w14:paraId="499CFB3F" w14:textId="395D3444" w:rsidR="00B04051" w:rsidRPr="00A845DF" w:rsidRDefault="00B04051" w:rsidP="00B04051">
    <w:pPr>
      <w:pStyle w:val="Heading4"/>
      <w:shd w:val="clear" w:color="auto" w:fill="FFFFFF"/>
      <w:spacing w:before="0" w:line="240" w:lineRule="atLeast"/>
      <w:jc w:val="center"/>
      <w:textAlignment w:val="baseline"/>
      <w:rPr>
        <w:rFonts w:asciiTheme="minorHAnsi" w:hAnsiTheme="minorHAnsi" w:cstheme="minorHAnsi"/>
        <w:color w:val="333333"/>
      </w:rPr>
    </w:pPr>
    <w:r w:rsidRPr="00A845DF">
      <w:rPr>
        <w:rStyle w:val="Strong"/>
        <w:rFonts w:asciiTheme="minorHAnsi" w:hAnsiTheme="minorHAnsi" w:cstheme="minorHAnsi"/>
        <w:b w:val="0"/>
        <w:bCs w:val="0"/>
        <w:color w:val="333333"/>
        <w:bdr w:val="none" w:sz="0" w:space="0" w:color="auto" w:frame="1"/>
      </w:rPr>
      <w:t>©2024 Globus Trading. ALL RIGHT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A224" w14:textId="77777777" w:rsidR="00CA1E6B" w:rsidRDefault="00CA1E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0DA1A" w14:textId="77777777" w:rsidR="00E55DC6" w:rsidRDefault="00E55DC6" w:rsidP="009961EE">
      <w:pPr>
        <w:spacing w:after="0" w:line="240" w:lineRule="auto"/>
      </w:pPr>
      <w:r>
        <w:separator/>
      </w:r>
    </w:p>
  </w:footnote>
  <w:footnote w:type="continuationSeparator" w:id="0">
    <w:p w14:paraId="318143D0" w14:textId="77777777" w:rsidR="00E55DC6" w:rsidRDefault="00E55DC6" w:rsidP="009961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40D0B" w14:textId="77777777" w:rsidR="00CA1E6B" w:rsidRDefault="00CA1E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073E3" w14:textId="2D865EF8" w:rsidR="001E31EB" w:rsidRDefault="001E31EB">
    <w:pPr>
      <w:pStyle w:val="Header"/>
    </w:pPr>
    <w:r>
      <w:rPr>
        <w:noProof/>
      </w:rPr>
      <w:drawing>
        <wp:anchor distT="0" distB="0" distL="114300" distR="114300" simplePos="0" relativeHeight="251659264" behindDoc="1" locked="0" layoutInCell="1" allowOverlap="1" wp14:anchorId="16F61DA6" wp14:editId="4F9297B7">
          <wp:simplePos x="0" y="0"/>
          <wp:positionH relativeFrom="margin">
            <wp:posOffset>1216025</wp:posOffset>
          </wp:positionH>
          <wp:positionV relativeFrom="paragraph">
            <wp:posOffset>-353999</wp:posOffset>
          </wp:positionV>
          <wp:extent cx="3013544" cy="8343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3544" cy="8343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1AE1B" w14:textId="77777777" w:rsidR="00CA1E6B" w:rsidRDefault="00CA1E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567C"/>
    <w:multiLevelType w:val="multilevel"/>
    <w:tmpl w:val="4724A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32862"/>
    <w:multiLevelType w:val="hybridMultilevel"/>
    <w:tmpl w:val="9B0C9BB0"/>
    <w:lvl w:ilvl="0" w:tplc="03ECEF28">
      <w:numFmt w:val="bullet"/>
      <w:lvlText w:val="-"/>
      <w:lvlJc w:val="left"/>
      <w:pPr>
        <w:ind w:left="720" w:hanging="360"/>
      </w:pPr>
      <w:rPr>
        <w:rFonts w:ascii="Times New Roman" w:eastAsiaTheme="minorHAnsi"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0C4611C4"/>
    <w:multiLevelType w:val="multilevel"/>
    <w:tmpl w:val="96E09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BB6F91"/>
    <w:multiLevelType w:val="hybridMultilevel"/>
    <w:tmpl w:val="FEDAB71C"/>
    <w:lvl w:ilvl="0" w:tplc="10000001">
      <w:start w:val="1"/>
      <w:numFmt w:val="bullet"/>
      <w:lvlText w:val=""/>
      <w:lvlJc w:val="left"/>
      <w:pPr>
        <w:ind w:left="858" w:hanging="360"/>
      </w:pPr>
      <w:rPr>
        <w:rFonts w:ascii="Symbol" w:hAnsi="Symbol" w:hint="default"/>
      </w:rPr>
    </w:lvl>
    <w:lvl w:ilvl="1" w:tplc="10000003" w:tentative="1">
      <w:start w:val="1"/>
      <w:numFmt w:val="bullet"/>
      <w:lvlText w:val="o"/>
      <w:lvlJc w:val="left"/>
      <w:pPr>
        <w:ind w:left="1578" w:hanging="360"/>
      </w:pPr>
      <w:rPr>
        <w:rFonts w:ascii="Courier New" w:hAnsi="Courier New" w:cs="Courier New" w:hint="default"/>
      </w:rPr>
    </w:lvl>
    <w:lvl w:ilvl="2" w:tplc="10000005" w:tentative="1">
      <w:start w:val="1"/>
      <w:numFmt w:val="bullet"/>
      <w:lvlText w:val=""/>
      <w:lvlJc w:val="left"/>
      <w:pPr>
        <w:ind w:left="2298" w:hanging="360"/>
      </w:pPr>
      <w:rPr>
        <w:rFonts w:ascii="Wingdings" w:hAnsi="Wingdings" w:hint="default"/>
      </w:rPr>
    </w:lvl>
    <w:lvl w:ilvl="3" w:tplc="10000001" w:tentative="1">
      <w:start w:val="1"/>
      <w:numFmt w:val="bullet"/>
      <w:lvlText w:val=""/>
      <w:lvlJc w:val="left"/>
      <w:pPr>
        <w:ind w:left="3018" w:hanging="360"/>
      </w:pPr>
      <w:rPr>
        <w:rFonts w:ascii="Symbol" w:hAnsi="Symbol" w:hint="default"/>
      </w:rPr>
    </w:lvl>
    <w:lvl w:ilvl="4" w:tplc="10000003" w:tentative="1">
      <w:start w:val="1"/>
      <w:numFmt w:val="bullet"/>
      <w:lvlText w:val="o"/>
      <w:lvlJc w:val="left"/>
      <w:pPr>
        <w:ind w:left="3738" w:hanging="360"/>
      </w:pPr>
      <w:rPr>
        <w:rFonts w:ascii="Courier New" w:hAnsi="Courier New" w:cs="Courier New" w:hint="default"/>
      </w:rPr>
    </w:lvl>
    <w:lvl w:ilvl="5" w:tplc="10000005" w:tentative="1">
      <w:start w:val="1"/>
      <w:numFmt w:val="bullet"/>
      <w:lvlText w:val=""/>
      <w:lvlJc w:val="left"/>
      <w:pPr>
        <w:ind w:left="4458" w:hanging="360"/>
      </w:pPr>
      <w:rPr>
        <w:rFonts w:ascii="Wingdings" w:hAnsi="Wingdings" w:hint="default"/>
      </w:rPr>
    </w:lvl>
    <w:lvl w:ilvl="6" w:tplc="10000001" w:tentative="1">
      <w:start w:val="1"/>
      <w:numFmt w:val="bullet"/>
      <w:lvlText w:val=""/>
      <w:lvlJc w:val="left"/>
      <w:pPr>
        <w:ind w:left="5178" w:hanging="360"/>
      </w:pPr>
      <w:rPr>
        <w:rFonts w:ascii="Symbol" w:hAnsi="Symbol" w:hint="default"/>
      </w:rPr>
    </w:lvl>
    <w:lvl w:ilvl="7" w:tplc="10000003" w:tentative="1">
      <w:start w:val="1"/>
      <w:numFmt w:val="bullet"/>
      <w:lvlText w:val="o"/>
      <w:lvlJc w:val="left"/>
      <w:pPr>
        <w:ind w:left="5898" w:hanging="360"/>
      </w:pPr>
      <w:rPr>
        <w:rFonts w:ascii="Courier New" w:hAnsi="Courier New" w:cs="Courier New" w:hint="default"/>
      </w:rPr>
    </w:lvl>
    <w:lvl w:ilvl="8" w:tplc="10000005" w:tentative="1">
      <w:start w:val="1"/>
      <w:numFmt w:val="bullet"/>
      <w:lvlText w:val=""/>
      <w:lvlJc w:val="left"/>
      <w:pPr>
        <w:ind w:left="6618" w:hanging="360"/>
      </w:pPr>
      <w:rPr>
        <w:rFonts w:ascii="Wingdings" w:hAnsi="Wingdings" w:hint="default"/>
      </w:rPr>
    </w:lvl>
  </w:abstractNum>
  <w:abstractNum w:abstractNumId="4" w15:restartNumberingAfterBreak="0">
    <w:nsid w:val="1B9611E4"/>
    <w:multiLevelType w:val="hybridMultilevel"/>
    <w:tmpl w:val="184A19D0"/>
    <w:lvl w:ilvl="0" w:tplc="EE26DE68">
      <w:numFmt w:val="bullet"/>
      <w:lvlText w:val="-"/>
      <w:lvlJc w:val="left"/>
      <w:pPr>
        <w:ind w:left="570" w:hanging="360"/>
      </w:pPr>
      <w:rPr>
        <w:rFonts w:ascii="Times New Roman" w:eastAsiaTheme="minorHAnsi"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1C08142D"/>
    <w:multiLevelType w:val="hybridMultilevel"/>
    <w:tmpl w:val="6D52635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22252F0D"/>
    <w:multiLevelType w:val="hybridMultilevel"/>
    <w:tmpl w:val="9B50B0E4"/>
    <w:lvl w:ilvl="0" w:tplc="EE26DE68">
      <w:numFmt w:val="bullet"/>
      <w:lvlText w:val="-"/>
      <w:lvlJc w:val="left"/>
      <w:pPr>
        <w:ind w:left="570" w:hanging="360"/>
      </w:pPr>
      <w:rPr>
        <w:rFonts w:ascii="Times New Roman" w:eastAsiaTheme="minorHAnsi" w:hAnsi="Times New Roman" w:cs="Times New Roman" w:hint="default"/>
      </w:rPr>
    </w:lvl>
    <w:lvl w:ilvl="1" w:tplc="10000003" w:tentative="1">
      <w:start w:val="1"/>
      <w:numFmt w:val="bullet"/>
      <w:lvlText w:val="o"/>
      <w:lvlJc w:val="left"/>
      <w:pPr>
        <w:ind w:left="1290" w:hanging="360"/>
      </w:pPr>
      <w:rPr>
        <w:rFonts w:ascii="Courier New" w:hAnsi="Courier New" w:cs="Courier New" w:hint="default"/>
      </w:rPr>
    </w:lvl>
    <w:lvl w:ilvl="2" w:tplc="10000005" w:tentative="1">
      <w:start w:val="1"/>
      <w:numFmt w:val="bullet"/>
      <w:lvlText w:val=""/>
      <w:lvlJc w:val="left"/>
      <w:pPr>
        <w:ind w:left="2010" w:hanging="360"/>
      </w:pPr>
      <w:rPr>
        <w:rFonts w:ascii="Wingdings" w:hAnsi="Wingdings" w:hint="default"/>
      </w:rPr>
    </w:lvl>
    <w:lvl w:ilvl="3" w:tplc="10000001" w:tentative="1">
      <w:start w:val="1"/>
      <w:numFmt w:val="bullet"/>
      <w:lvlText w:val=""/>
      <w:lvlJc w:val="left"/>
      <w:pPr>
        <w:ind w:left="2730" w:hanging="360"/>
      </w:pPr>
      <w:rPr>
        <w:rFonts w:ascii="Symbol" w:hAnsi="Symbol" w:hint="default"/>
      </w:rPr>
    </w:lvl>
    <w:lvl w:ilvl="4" w:tplc="10000003" w:tentative="1">
      <w:start w:val="1"/>
      <w:numFmt w:val="bullet"/>
      <w:lvlText w:val="o"/>
      <w:lvlJc w:val="left"/>
      <w:pPr>
        <w:ind w:left="3450" w:hanging="360"/>
      </w:pPr>
      <w:rPr>
        <w:rFonts w:ascii="Courier New" w:hAnsi="Courier New" w:cs="Courier New" w:hint="default"/>
      </w:rPr>
    </w:lvl>
    <w:lvl w:ilvl="5" w:tplc="10000005" w:tentative="1">
      <w:start w:val="1"/>
      <w:numFmt w:val="bullet"/>
      <w:lvlText w:val=""/>
      <w:lvlJc w:val="left"/>
      <w:pPr>
        <w:ind w:left="4170" w:hanging="360"/>
      </w:pPr>
      <w:rPr>
        <w:rFonts w:ascii="Wingdings" w:hAnsi="Wingdings" w:hint="default"/>
      </w:rPr>
    </w:lvl>
    <w:lvl w:ilvl="6" w:tplc="10000001" w:tentative="1">
      <w:start w:val="1"/>
      <w:numFmt w:val="bullet"/>
      <w:lvlText w:val=""/>
      <w:lvlJc w:val="left"/>
      <w:pPr>
        <w:ind w:left="4890" w:hanging="360"/>
      </w:pPr>
      <w:rPr>
        <w:rFonts w:ascii="Symbol" w:hAnsi="Symbol" w:hint="default"/>
      </w:rPr>
    </w:lvl>
    <w:lvl w:ilvl="7" w:tplc="10000003" w:tentative="1">
      <w:start w:val="1"/>
      <w:numFmt w:val="bullet"/>
      <w:lvlText w:val="o"/>
      <w:lvlJc w:val="left"/>
      <w:pPr>
        <w:ind w:left="5610" w:hanging="360"/>
      </w:pPr>
      <w:rPr>
        <w:rFonts w:ascii="Courier New" w:hAnsi="Courier New" w:cs="Courier New" w:hint="default"/>
      </w:rPr>
    </w:lvl>
    <w:lvl w:ilvl="8" w:tplc="10000005" w:tentative="1">
      <w:start w:val="1"/>
      <w:numFmt w:val="bullet"/>
      <w:lvlText w:val=""/>
      <w:lvlJc w:val="left"/>
      <w:pPr>
        <w:ind w:left="6330" w:hanging="360"/>
      </w:pPr>
      <w:rPr>
        <w:rFonts w:ascii="Wingdings" w:hAnsi="Wingdings" w:hint="default"/>
      </w:rPr>
    </w:lvl>
  </w:abstractNum>
  <w:abstractNum w:abstractNumId="7" w15:restartNumberingAfterBreak="0">
    <w:nsid w:val="24DC3C03"/>
    <w:multiLevelType w:val="hybridMultilevel"/>
    <w:tmpl w:val="32E4CE8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308F243D"/>
    <w:multiLevelType w:val="multilevel"/>
    <w:tmpl w:val="E82C9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86791D"/>
    <w:multiLevelType w:val="hybridMultilevel"/>
    <w:tmpl w:val="41549538"/>
    <w:lvl w:ilvl="0" w:tplc="03ECEF28">
      <w:numFmt w:val="bullet"/>
      <w:lvlText w:val="-"/>
      <w:lvlJc w:val="left"/>
      <w:pPr>
        <w:ind w:left="720" w:hanging="360"/>
      </w:pPr>
      <w:rPr>
        <w:rFonts w:ascii="Times New Roman" w:eastAsiaTheme="minorHAnsi"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32BC05D1"/>
    <w:multiLevelType w:val="hybridMultilevel"/>
    <w:tmpl w:val="69FEB6A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3AF57C23"/>
    <w:multiLevelType w:val="hybridMultilevel"/>
    <w:tmpl w:val="69D8259A"/>
    <w:lvl w:ilvl="0" w:tplc="10000001">
      <w:start w:val="1"/>
      <w:numFmt w:val="bullet"/>
      <w:lvlText w:val=""/>
      <w:lvlJc w:val="left"/>
      <w:pPr>
        <w:ind w:left="57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3D423F4F"/>
    <w:multiLevelType w:val="multilevel"/>
    <w:tmpl w:val="1C265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C97EA8"/>
    <w:multiLevelType w:val="multilevel"/>
    <w:tmpl w:val="802C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254D41"/>
    <w:multiLevelType w:val="multilevel"/>
    <w:tmpl w:val="ED740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BD1196"/>
    <w:multiLevelType w:val="hybridMultilevel"/>
    <w:tmpl w:val="C6E4AB60"/>
    <w:lvl w:ilvl="0" w:tplc="10000001">
      <w:start w:val="1"/>
      <w:numFmt w:val="bullet"/>
      <w:lvlText w:val=""/>
      <w:lvlJc w:val="left"/>
      <w:pPr>
        <w:ind w:left="933" w:hanging="360"/>
      </w:pPr>
      <w:rPr>
        <w:rFonts w:ascii="Symbol" w:hAnsi="Symbol" w:hint="default"/>
      </w:rPr>
    </w:lvl>
    <w:lvl w:ilvl="1" w:tplc="10000003" w:tentative="1">
      <w:start w:val="1"/>
      <w:numFmt w:val="bullet"/>
      <w:lvlText w:val="o"/>
      <w:lvlJc w:val="left"/>
      <w:pPr>
        <w:ind w:left="1653" w:hanging="360"/>
      </w:pPr>
      <w:rPr>
        <w:rFonts w:ascii="Courier New" w:hAnsi="Courier New" w:cs="Courier New" w:hint="default"/>
      </w:rPr>
    </w:lvl>
    <w:lvl w:ilvl="2" w:tplc="10000005" w:tentative="1">
      <w:start w:val="1"/>
      <w:numFmt w:val="bullet"/>
      <w:lvlText w:val=""/>
      <w:lvlJc w:val="left"/>
      <w:pPr>
        <w:ind w:left="2373" w:hanging="360"/>
      </w:pPr>
      <w:rPr>
        <w:rFonts w:ascii="Wingdings" w:hAnsi="Wingdings" w:hint="default"/>
      </w:rPr>
    </w:lvl>
    <w:lvl w:ilvl="3" w:tplc="10000001" w:tentative="1">
      <w:start w:val="1"/>
      <w:numFmt w:val="bullet"/>
      <w:lvlText w:val=""/>
      <w:lvlJc w:val="left"/>
      <w:pPr>
        <w:ind w:left="3093" w:hanging="360"/>
      </w:pPr>
      <w:rPr>
        <w:rFonts w:ascii="Symbol" w:hAnsi="Symbol" w:hint="default"/>
      </w:rPr>
    </w:lvl>
    <w:lvl w:ilvl="4" w:tplc="10000003" w:tentative="1">
      <w:start w:val="1"/>
      <w:numFmt w:val="bullet"/>
      <w:lvlText w:val="o"/>
      <w:lvlJc w:val="left"/>
      <w:pPr>
        <w:ind w:left="3813" w:hanging="360"/>
      </w:pPr>
      <w:rPr>
        <w:rFonts w:ascii="Courier New" w:hAnsi="Courier New" w:cs="Courier New" w:hint="default"/>
      </w:rPr>
    </w:lvl>
    <w:lvl w:ilvl="5" w:tplc="10000005" w:tentative="1">
      <w:start w:val="1"/>
      <w:numFmt w:val="bullet"/>
      <w:lvlText w:val=""/>
      <w:lvlJc w:val="left"/>
      <w:pPr>
        <w:ind w:left="4533" w:hanging="360"/>
      </w:pPr>
      <w:rPr>
        <w:rFonts w:ascii="Wingdings" w:hAnsi="Wingdings" w:hint="default"/>
      </w:rPr>
    </w:lvl>
    <w:lvl w:ilvl="6" w:tplc="10000001" w:tentative="1">
      <w:start w:val="1"/>
      <w:numFmt w:val="bullet"/>
      <w:lvlText w:val=""/>
      <w:lvlJc w:val="left"/>
      <w:pPr>
        <w:ind w:left="5253" w:hanging="360"/>
      </w:pPr>
      <w:rPr>
        <w:rFonts w:ascii="Symbol" w:hAnsi="Symbol" w:hint="default"/>
      </w:rPr>
    </w:lvl>
    <w:lvl w:ilvl="7" w:tplc="10000003" w:tentative="1">
      <w:start w:val="1"/>
      <w:numFmt w:val="bullet"/>
      <w:lvlText w:val="o"/>
      <w:lvlJc w:val="left"/>
      <w:pPr>
        <w:ind w:left="5973" w:hanging="360"/>
      </w:pPr>
      <w:rPr>
        <w:rFonts w:ascii="Courier New" w:hAnsi="Courier New" w:cs="Courier New" w:hint="default"/>
      </w:rPr>
    </w:lvl>
    <w:lvl w:ilvl="8" w:tplc="10000005" w:tentative="1">
      <w:start w:val="1"/>
      <w:numFmt w:val="bullet"/>
      <w:lvlText w:val=""/>
      <w:lvlJc w:val="left"/>
      <w:pPr>
        <w:ind w:left="6693" w:hanging="360"/>
      </w:pPr>
      <w:rPr>
        <w:rFonts w:ascii="Wingdings" w:hAnsi="Wingdings" w:hint="default"/>
      </w:rPr>
    </w:lvl>
  </w:abstractNum>
  <w:abstractNum w:abstractNumId="16" w15:restartNumberingAfterBreak="0">
    <w:nsid w:val="4802488B"/>
    <w:multiLevelType w:val="hybridMultilevel"/>
    <w:tmpl w:val="2E1A002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4DE62A54"/>
    <w:multiLevelType w:val="hybridMultilevel"/>
    <w:tmpl w:val="2098CCA6"/>
    <w:lvl w:ilvl="0" w:tplc="10000001">
      <w:start w:val="1"/>
      <w:numFmt w:val="bullet"/>
      <w:lvlText w:val=""/>
      <w:lvlJc w:val="left"/>
      <w:pPr>
        <w:ind w:left="933" w:hanging="360"/>
      </w:pPr>
      <w:rPr>
        <w:rFonts w:ascii="Symbol" w:hAnsi="Symbol" w:hint="default"/>
      </w:rPr>
    </w:lvl>
    <w:lvl w:ilvl="1" w:tplc="10000003" w:tentative="1">
      <w:start w:val="1"/>
      <w:numFmt w:val="bullet"/>
      <w:lvlText w:val="o"/>
      <w:lvlJc w:val="left"/>
      <w:pPr>
        <w:ind w:left="1653" w:hanging="360"/>
      </w:pPr>
      <w:rPr>
        <w:rFonts w:ascii="Courier New" w:hAnsi="Courier New" w:cs="Courier New" w:hint="default"/>
      </w:rPr>
    </w:lvl>
    <w:lvl w:ilvl="2" w:tplc="10000005" w:tentative="1">
      <w:start w:val="1"/>
      <w:numFmt w:val="bullet"/>
      <w:lvlText w:val=""/>
      <w:lvlJc w:val="left"/>
      <w:pPr>
        <w:ind w:left="2373" w:hanging="360"/>
      </w:pPr>
      <w:rPr>
        <w:rFonts w:ascii="Wingdings" w:hAnsi="Wingdings" w:hint="default"/>
      </w:rPr>
    </w:lvl>
    <w:lvl w:ilvl="3" w:tplc="10000001" w:tentative="1">
      <w:start w:val="1"/>
      <w:numFmt w:val="bullet"/>
      <w:lvlText w:val=""/>
      <w:lvlJc w:val="left"/>
      <w:pPr>
        <w:ind w:left="3093" w:hanging="360"/>
      </w:pPr>
      <w:rPr>
        <w:rFonts w:ascii="Symbol" w:hAnsi="Symbol" w:hint="default"/>
      </w:rPr>
    </w:lvl>
    <w:lvl w:ilvl="4" w:tplc="10000003" w:tentative="1">
      <w:start w:val="1"/>
      <w:numFmt w:val="bullet"/>
      <w:lvlText w:val="o"/>
      <w:lvlJc w:val="left"/>
      <w:pPr>
        <w:ind w:left="3813" w:hanging="360"/>
      </w:pPr>
      <w:rPr>
        <w:rFonts w:ascii="Courier New" w:hAnsi="Courier New" w:cs="Courier New" w:hint="default"/>
      </w:rPr>
    </w:lvl>
    <w:lvl w:ilvl="5" w:tplc="10000005" w:tentative="1">
      <w:start w:val="1"/>
      <w:numFmt w:val="bullet"/>
      <w:lvlText w:val=""/>
      <w:lvlJc w:val="left"/>
      <w:pPr>
        <w:ind w:left="4533" w:hanging="360"/>
      </w:pPr>
      <w:rPr>
        <w:rFonts w:ascii="Wingdings" w:hAnsi="Wingdings" w:hint="default"/>
      </w:rPr>
    </w:lvl>
    <w:lvl w:ilvl="6" w:tplc="10000001" w:tentative="1">
      <w:start w:val="1"/>
      <w:numFmt w:val="bullet"/>
      <w:lvlText w:val=""/>
      <w:lvlJc w:val="left"/>
      <w:pPr>
        <w:ind w:left="5253" w:hanging="360"/>
      </w:pPr>
      <w:rPr>
        <w:rFonts w:ascii="Symbol" w:hAnsi="Symbol" w:hint="default"/>
      </w:rPr>
    </w:lvl>
    <w:lvl w:ilvl="7" w:tplc="10000003" w:tentative="1">
      <w:start w:val="1"/>
      <w:numFmt w:val="bullet"/>
      <w:lvlText w:val="o"/>
      <w:lvlJc w:val="left"/>
      <w:pPr>
        <w:ind w:left="5973" w:hanging="360"/>
      </w:pPr>
      <w:rPr>
        <w:rFonts w:ascii="Courier New" w:hAnsi="Courier New" w:cs="Courier New" w:hint="default"/>
      </w:rPr>
    </w:lvl>
    <w:lvl w:ilvl="8" w:tplc="10000005" w:tentative="1">
      <w:start w:val="1"/>
      <w:numFmt w:val="bullet"/>
      <w:lvlText w:val=""/>
      <w:lvlJc w:val="left"/>
      <w:pPr>
        <w:ind w:left="6693" w:hanging="360"/>
      </w:pPr>
      <w:rPr>
        <w:rFonts w:ascii="Wingdings" w:hAnsi="Wingdings" w:hint="default"/>
      </w:rPr>
    </w:lvl>
  </w:abstractNum>
  <w:abstractNum w:abstractNumId="18" w15:restartNumberingAfterBreak="0">
    <w:nsid w:val="54EF1280"/>
    <w:multiLevelType w:val="multilevel"/>
    <w:tmpl w:val="C034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1F3197"/>
    <w:multiLevelType w:val="hybridMultilevel"/>
    <w:tmpl w:val="799A76D8"/>
    <w:lvl w:ilvl="0" w:tplc="EE26DE68">
      <w:numFmt w:val="bullet"/>
      <w:lvlText w:val="-"/>
      <w:lvlJc w:val="left"/>
      <w:pPr>
        <w:ind w:left="570" w:hanging="360"/>
      </w:pPr>
      <w:rPr>
        <w:rFonts w:ascii="Times New Roman" w:eastAsiaTheme="minorHAnsi"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0" w15:restartNumberingAfterBreak="0">
    <w:nsid w:val="5C336127"/>
    <w:multiLevelType w:val="hybridMultilevel"/>
    <w:tmpl w:val="2390D5F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1" w15:restartNumberingAfterBreak="0">
    <w:nsid w:val="673762FE"/>
    <w:multiLevelType w:val="hybridMultilevel"/>
    <w:tmpl w:val="EBC0B61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2" w15:restartNumberingAfterBreak="0">
    <w:nsid w:val="68A01FE3"/>
    <w:multiLevelType w:val="multilevel"/>
    <w:tmpl w:val="17101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D34BB6"/>
    <w:multiLevelType w:val="hybridMultilevel"/>
    <w:tmpl w:val="012EA554"/>
    <w:lvl w:ilvl="0" w:tplc="EE26DE68">
      <w:numFmt w:val="bullet"/>
      <w:lvlText w:val="-"/>
      <w:lvlJc w:val="left"/>
      <w:pPr>
        <w:ind w:left="570" w:hanging="360"/>
      </w:pPr>
      <w:rPr>
        <w:rFonts w:ascii="Times New Roman" w:eastAsiaTheme="minorHAnsi" w:hAnsi="Times New Roman" w:cs="Times New Roman" w:hint="default"/>
      </w:rPr>
    </w:lvl>
    <w:lvl w:ilvl="1" w:tplc="10000003" w:tentative="1">
      <w:start w:val="1"/>
      <w:numFmt w:val="bullet"/>
      <w:lvlText w:val="o"/>
      <w:lvlJc w:val="left"/>
      <w:pPr>
        <w:ind w:left="1290" w:hanging="360"/>
      </w:pPr>
      <w:rPr>
        <w:rFonts w:ascii="Courier New" w:hAnsi="Courier New" w:cs="Courier New" w:hint="default"/>
      </w:rPr>
    </w:lvl>
    <w:lvl w:ilvl="2" w:tplc="10000005" w:tentative="1">
      <w:start w:val="1"/>
      <w:numFmt w:val="bullet"/>
      <w:lvlText w:val=""/>
      <w:lvlJc w:val="left"/>
      <w:pPr>
        <w:ind w:left="2010" w:hanging="360"/>
      </w:pPr>
      <w:rPr>
        <w:rFonts w:ascii="Wingdings" w:hAnsi="Wingdings" w:hint="default"/>
      </w:rPr>
    </w:lvl>
    <w:lvl w:ilvl="3" w:tplc="10000001" w:tentative="1">
      <w:start w:val="1"/>
      <w:numFmt w:val="bullet"/>
      <w:lvlText w:val=""/>
      <w:lvlJc w:val="left"/>
      <w:pPr>
        <w:ind w:left="2730" w:hanging="360"/>
      </w:pPr>
      <w:rPr>
        <w:rFonts w:ascii="Symbol" w:hAnsi="Symbol" w:hint="default"/>
      </w:rPr>
    </w:lvl>
    <w:lvl w:ilvl="4" w:tplc="10000003" w:tentative="1">
      <w:start w:val="1"/>
      <w:numFmt w:val="bullet"/>
      <w:lvlText w:val="o"/>
      <w:lvlJc w:val="left"/>
      <w:pPr>
        <w:ind w:left="3450" w:hanging="360"/>
      </w:pPr>
      <w:rPr>
        <w:rFonts w:ascii="Courier New" w:hAnsi="Courier New" w:cs="Courier New" w:hint="default"/>
      </w:rPr>
    </w:lvl>
    <w:lvl w:ilvl="5" w:tplc="10000005" w:tentative="1">
      <w:start w:val="1"/>
      <w:numFmt w:val="bullet"/>
      <w:lvlText w:val=""/>
      <w:lvlJc w:val="left"/>
      <w:pPr>
        <w:ind w:left="4170" w:hanging="360"/>
      </w:pPr>
      <w:rPr>
        <w:rFonts w:ascii="Wingdings" w:hAnsi="Wingdings" w:hint="default"/>
      </w:rPr>
    </w:lvl>
    <w:lvl w:ilvl="6" w:tplc="10000001" w:tentative="1">
      <w:start w:val="1"/>
      <w:numFmt w:val="bullet"/>
      <w:lvlText w:val=""/>
      <w:lvlJc w:val="left"/>
      <w:pPr>
        <w:ind w:left="4890" w:hanging="360"/>
      </w:pPr>
      <w:rPr>
        <w:rFonts w:ascii="Symbol" w:hAnsi="Symbol" w:hint="default"/>
      </w:rPr>
    </w:lvl>
    <w:lvl w:ilvl="7" w:tplc="10000003" w:tentative="1">
      <w:start w:val="1"/>
      <w:numFmt w:val="bullet"/>
      <w:lvlText w:val="o"/>
      <w:lvlJc w:val="left"/>
      <w:pPr>
        <w:ind w:left="5610" w:hanging="360"/>
      </w:pPr>
      <w:rPr>
        <w:rFonts w:ascii="Courier New" w:hAnsi="Courier New" w:cs="Courier New" w:hint="default"/>
      </w:rPr>
    </w:lvl>
    <w:lvl w:ilvl="8" w:tplc="10000005" w:tentative="1">
      <w:start w:val="1"/>
      <w:numFmt w:val="bullet"/>
      <w:lvlText w:val=""/>
      <w:lvlJc w:val="left"/>
      <w:pPr>
        <w:ind w:left="6330" w:hanging="360"/>
      </w:pPr>
      <w:rPr>
        <w:rFonts w:ascii="Wingdings" w:hAnsi="Wingdings" w:hint="default"/>
      </w:rPr>
    </w:lvl>
  </w:abstractNum>
  <w:abstractNum w:abstractNumId="24" w15:restartNumberingAfterBreak="0">
    <w:nsid w:val="6F1A00C2"/>
    <w:multiLevelType w:val="hybridMultilevel"/>
    <w:tmpl w:val="92401A2E"/>
    <w:lvl w:ilvl="0" w:tplc="10000001">
      <w:start w:val="1"/>
      <w:numFmt w:val="bullet"/>
      <w:lvlText w:val=""/>
      <w:lvlJc w:val="left"/>
      <w:pPr>
        <w:ind w:left="57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5" w15:restartNumberingAfterBreak="0">
    <w:nsid w:val="71201D56"/>
    <w:multiLevelType w:val="multilevel"/>
    <w:tmpl w:val="255A5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89020B"/>
    <w:multiLevelType w:val="hybridMultilevel"/>
    <w:tmpl w:val="2200C68C"/>
    <w:lvl w:ilvl="0" w:tplc="10000001">
      <w:start w:val="1"/>
      <w:numFmt w:val="bullet"/>
      <w:lvlText w:val=""/>
      <w:lvlJc w:val="left"/>
      <w:pPr>
        <w:ind w:left="795" w:hanging="360"/>
      </w:pPr>
      <w:rPr>
        <w:rFonts w:ascii="Symbol" w:hAnsi="Symbol" w:hint="default"/>
      </w:rPr>
    </w:lvl>
    <w:lvl w:ilvl="1" w:tplc="99D03530">
      <w:numFmt w:val="bullet"/>
      <w:lvlText w:val="-"/>
      <w:lvlJc w:val="left"/>
      <w:pPr>
        <w:ind w:left="1515" w:hanging="360"/>
      </w:pPr>
      <w:rPr>
        <w:rFonts w:ascii="Times New Roman" w:eastAsiaTheme="minorHAnsi" w:hAnsi="Times New Roman" w:cs="Times New Roman" w:hint="default"/>
      </w:rPr>
    </w:lvl>
    <w:lvl w:ilvl="2" w:tplc="10000005" w:tentative="1">
      <w:start w:val="1"/>
      <w:numFmt w:val="bullet"/>
      <w:lvlText w:val=""/>
      <w:lvlJc w:val="left"/>
      <w:pPr>
        <w:ind w:left="2235" w:hanging="360"/>
      </w:pPr>
      <w:rPr>
        <w:rFonts w:ascii="Wingdings" w:hAnsi="Wingdings" w:hint="default"/>
      </w:rPr>
    </w:lvl>
    <w:lvl w:ilvl="3" w:tplc="10000001" w:tentative="1">
      <w:start w:val="1"/>
      <w:numFmt w:val="bullet"/>
      <w:lvlText w:val=""/>
      <w:lvlJc w:val="left"/>
      <w:pPr>
        <w:ind w:left="2955" w:hanging="360"/>
      </w:pPr>
      <w:rPr>
        <w:rFonts w:ascii="Symbol" w:hAnsi="Symbol" w:hint="default"/>
      </w:rPr>
    </w:lvl>
    <w:lvl w:ilvl="4" w:tplc="10000003" w:tentative="1">
      <w:start w:val="1"/>
      <w:numFmt w:val="bullet"/>
      <w:lvlText w:val="o"/>
      <w:lvlJc w:val="left"/>
      <w:pPr>
        <w:ind w:left="3675" w:hanging="360"/>
      </w:pPr>
      <w:rPr>
        <w:rFonts w:ascii="Courier New" w:hAnsi="Courier New" w:cs="Courier New" w:hint="default"/>
      </w:rPr>
    </w:lvl>
    <w:lvl w:ilvl="5" w:tplc="10000005" w:tentative="1">
      <w:start w:val="1"/>
      <w:numFmt w:val="bullet"/>
      <w:lvlText w:val=""/>
      <w:lvlJc w:val="left"/>
      <w:pPr>
        <w:ind w:left="4395" w:hanging="360"/>
      </w:pPr>
      <w:rPr>
        <w:rFonts w:ascii="Wingdings" w:hAnsi="Wingdings" w:hint="default"/>
      </w:rPr>
    </w:lvl>
    <w:lvl w:ilvl="6" w:tplc="10000001" w:tentative="1">
      <w:start w:val="1"/>
      <w:numFmt w:val="bullet"/>
      <w:lvlText w:val=""/>
      <w:lvlJc w:val="left"/>
      <w:pPr>
        <w:ind w:left="5115" w:hanging="360"/>
      </w:pPr>
      <w:rPr>
        <w:rFonts w:ascii="Symbol" w:hAnsi="Symbol" w:hint="default"/>
      </w:rPr>
    </w:lvl>
    <w:lvl w:ilvl="7" w:tplc="10000003" w:tentative="1">
      <w:start w:val="1"/>
      <w:numFmt w:val="bullet"/>
      <w:lvlText w:val="o"/>
      <w:lvlJc w:val="left"/>
      <w:pPr>
        <w:ind w:left="5835" w:hanging="360"/>
      </w:pPr>
      <w:rPr>
        <w:rFonts w:ascii="Courier New" w:hAnsi="Courier New" w:cs="Courier New" w:hint="default"/>
      </w:rPr>
    </w:lvl>
    <w:lvl w:ilvl="8" w:tplc="10000005" w:tentative="1">
      <w:start w:val="1"/>
      <w:numFmt w:val="bullet"/>
      <w:lvlText w:val=""/>
      <w:lvlJc w:val="left"/>
      <w:pPr>
        <w:ind w:left="6555" w:hanging="360"/>
      </w:pPr>
      <w:rPr>
        <w:rFonts w:ascii="Wingdings" w:hAnsi="Wingdings" w:hint="default"/>
      </w:rPr>
    </w:lvl>
  </w:abstractNum>
  <w:abstractNum w:abstractNumId="27" w15:restartNumberingAfterBreak="0">
    <w:nsid w:val="7E7C2807"/>
    <w:multiLevelType w:val="multilevel"/>
    <w:tmpl w:val="A8EE2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8"/>
  </w:num>
  <w:num w:numId="3">
    <w:abstractNumId w:val="2"/>
  </w:num>
  <w:num w:numId="4">
    <w:abstractNumId w:val="13"/>
  </w:num>
  <w:num w:numId="5">
    <w:abstractNumId w:val="25"/>
  </w:num>
  <w:num w:numId="6">
    <w:abstractNumId w:val="12"/>
  </w:num>
  <w:num w:numId="7">
    <w:abstractNumId w:val="22"/>
  </w:num>
  <w:num w:numId="8">
    <w:abstractNumId w:val="18"/>
  </w:num>
  <w:num w:numId="9">
    <w:abstractNumId w:val="14"/>
  </w:num>
  <w:num w:numId="10">
    <w:abstractNumId w:val="0"/>
  </w:num>
  <w:num w:numId="11">
    <w:abstractNumId w:val="20"/>
  </w:num>
  <w:num w:numId="12">
    <w:abstractNumId w:val="26"/>
  </w:num>
  <w:num w:numId="13">
    <w:abstractNumId w:val="5"/>
  </w:num>
  <w:num w:numId="14">
    <w:abstractNumId w:val="21"/>
  </w:num>
  <w:num w:numId="15">
    <w:abstractNumId w:val="1"/>
  </w:num>
  <w:num w:numId="16">
    <w:abstractNumId w:val="9"/>
  </w:num>
  <w:num w:numId="17">
    <w:abstractNumId w:val="16"/>
  </w:num>
  <w:num w:numId="18">
    <w:abstractNumId w:val="17"/>
  </w:num>
  <w:num w:numId="19">
    <w:abstractNumId w:val="23"/>
  </w:num>
  <w:num w:numId="20">
    <w:abstractNumId w:val="4"/>
  </w:num>
  <w:num w:numId="21">
    <w:abstractNumId w:val="11"/>
  </w:num>
  <w:num w:numId="22">
    <w:abstractNumId w:val="10"/>
  </w:num>
  <w:num w:numId="23">
    <w:abstractNumId w:val="15"/>
  </w:num>
  <w:num w:numId="24">
    <w:abstractNumId w:val="6"/>
  </w:num>
  <w:num w:numId="25">
    <w:abstractNumId w:val="19"/>
  </w:num>
  <w:num w:numId="26">
    <w:abstractNumId w:val="24"/>
  </w:num>
  <w:num w:numId="27">
    <w:abstractNumId w:val="3"/>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EzMzcyNzcxNre0NDRX0lEKTi0uzszPAykwqgUA6VF23SwAAAA="/>
  </w:docVars>
  <w:rsids>
    <w:rsidRoot w:val="00EC7B66"/>
    <w:rsid w:val="000A623C"/>
    <w:rsid w:val="000C2130"/>
    <w:rsid w:val="00173622"/>
    <w:rsid w:val="001E31EB"/>
    <w:rsid w:val="002F6A3F"/>
    <w:rsid w:val="00317C15"/>
    <w:rsid w:val="00323266"/>
    <w:rsid w:val="004E74A7"/>
    <w:rsid w:val="00510D80"/>
    <w:rsid w:val="005436C1"/>
    <w:rsid w:val="00555177"/>
    <w:rsid w:val="006022FF"/>
    <w:rsid w:val="007174DF"/>
    <w:rsid w:val="00750D23"/>
    <w:rsid w:val="0079118F"/>
    <w:rsid w:val="008555AA"/>
    <w:rsid w:val="008E255B"/>
    <w:rsid w:val="009961EE"/>
    <w:rsid w:val="00A450B5"/>
    <w:rsid w:val="00A845DF"/>
    <w:rsid w:val="00B04051"/>
    <w:rsid w:val="00BF5B16"/>
    <w:rsid w:val="00CA1E6B"/>
    <w:rsid w:val="00CE5CE1"/>
    <w:rsid w:val="00D515ED"/>
    <w:rsid w:val="00D84809"/>
    <w:rsid w:val="00E20877"/>
    <w:rsid w:val="00E55DC6"/>
    <w:rsid w:val="00EC7B66"/>
    <w:rsid w:val="00F46678"/>
    <w:rsid w:val="00F756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00CB7"/>
  <w15:chartTrackingRefBased/>
  <w15:docId w15:val="{3B56D64C-2E9D-4971-9443-9EB47A5ED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C7B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C7B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B0405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B6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C7B66"/>
    <w:rPr>
      <w:rFonts w:ascii="Times New Roman" w:eastAsia="Times New Roman" w:hAnsi="Times New Roman" w:cs="Times New Roman"/>
      <w:b/>
      <w:bCs/>
      <w:sz w:val="36"/>
      <w:szCs w:val="36"/>
    </w:rPr>
  </w:style>
  <w:style w:type="paragraph" w:customStyle="1" w:styleId="ag-aml-policytext">
    <w:name w:val="ag-aml-policy_text"/>
    <w:basedOn w:val="Normal"/>
    <w:rsid w:val="00EC7B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g-markeritem">
    <w:name w:val="ag-marker_item"/>
    <w:basedOn w:val="Normal"/>
    <w:rsid w:val="00EC7B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961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1EE"/>
  </w:style>
  <w:style w:type="paragraph" w:styleId="Footer">
    <w:name w:val="footer"/>
    <w:basedOn w:val="Normal"/>
    <w:link w:val="FooterChar"/>
    <w:uiPriority w:val="99"/>
    <w:unhideWhenUsed/>
    <w:rsid w:val="009961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61EE"/>
  </w:style>
  <w:style w:type="paragraph" w:styleId="ListParagraph">
    <w:name w:val="List Paragraph"/>
    <w:basedOn w:val="Normal"/>
    <w:uiPriority w:val="34"/>
    <w:qFormat/>
    <w:rsid w:val="004E74A7"/>
    <w:pPr>
      <w:ind w:left="720"/>
      <w:contextualSpacing/>
    </w:pPr>
  </w:style>
  <w:style w:type="character" w:customStyle="1" w:styleId="Heading4Char">
    <w:name w:val="Heading 4 Char"/>
    <w:basedOn w:val="DefaultParagraphFont"/>
    <w:link w:val="Heading4"/>
    <w:uiPriority w:val="9"/>
    <w:semiHidden/>
    <w:rsid w:val="00B04051"/>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B04051"/>
    <w:rPr>
      <w:b/>
      <w:bCs/>
    </w:rPr>
  </w:style>
  <w:style w:type="paragraph" w:customStyle="1" w:styleId="p2">
    <w:name w:val="p2"/>
    <w:basedOn w:val="Normal"/>
    <w:rsid w:val="00B040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190360">
      <w:bodyDiv w:val="1"/>
      <w:marLeft w:val="0"/>
      <w:marRight w:val="0"/>
      <w:marTop w:val="0"/>
      <w:marBottom w:val="0"/>
      <w:divBdr>
        <w:top w:val="none" w:sz="0" w:space="0" w:color="auto"/>
        <w:left w:val="none" w:sz="0" w:space="0" w:color="auto"/>
        <w:bottom w:val="none" w:sz="0" w:space="0" w:color="auto"/>
        <w:right w:val="none" w:sz="0" w:space="0" w:color="auto"/>
      </w:divBdr>
      <w:divsChild>
        <w:div w:id="580263348">
          <w:marLeft w:val="0"/>
          <w:marRight w:val="0"/>
          <w:marTop w:val="0"/>
          <w:marBottom w:val="0"/>
          <w:divBdr>
            <w:top w:val="none" w:sz="0" w:space="0" w:color="auto"/>
            <w:left w:val="none" w:sz="0" w:space="0" w:color="auto"/>
            <w:bottom w:val="none" w:sz="0" w:space="0" w:color="auto"/>
            <w:right w:val="none" w:sz="0" w:space="0" w:color="auto"/>
          </w:divBdr>
          <w:divsChild>
            <w:div w:id="173113264">
              <w:marLeft w:val="0"/>
              <w:marRight w:val="0"/>
              <w:marTop w:val="0"/>
              <w:marBottom w:val="0"/>
              <w:divBdr>
                <w:top w:val="none" w:sz="0" w:space="0" w:color="auto"/>
                <w:left w:val="none" w:sz="0" w:space="0" w:color="auto"/>
                <w:bottom w:val="none" w:sz="0" w:space="0" w:color="auto"/>
                <w:right w:val="none" w:sz="0" w:space="0" w:color="auto"/>
              </w:divBdr>
              <w:divsChild>
                <w:div w:id="800995429">
                  <w:marLeft w:val="0"/>
                  <w:marRight w:val="0"/>
                  <w:marTop w:val="0"/>
                  <w:marBottom w:val="0"/>
                  <w:divBdr>
                    <w:top w:val="none" w:sz="0" w:space="0" w:color="auto"/>
                    <w:left w:val="none" w:sz="0" w:space="0" w:color="auto"/>
                    <w:bottom w:val="none" w:sz="0" w:space="0" w:color="auto"/>
                    <w:right w:val="none" w:sz="0" w:space="0" w:color="auto"/>
                  </w:divBdr>
                  <w:divsChild>
                    <w:div w:id="878392567">
                      <w:marLeft w:val="0"/>
                      <w:marRight w:val="0"/>
                      <w:marTop w:val="0"/>
                      <w:marBottom w:val="0"/>
                      <w:divBdr>
                        <w:top w:val="none" w:sz="0" w:space="0" w:color="auto"/>
                        <w:left w:val="none" w:sz="0" w:space="0" w:color="auto"/>
                        <w:bottom w:val="none" w:sz="0" w:space="0" w:color="auto"/>
                        <w:right w:val="none" w:sz="0" w:space="0" w:color="auto"/>
                      </w:divBdr>
                    </w:div>
                    <w:div w:id="1672415547">
                      <w:marLeft w:val="0"/>
                      <w:marRight w:val="0"/>
                      <w:marTop w:val="0"/>
                      <w:marBottom w:val="0"/>
                      <w:divBdr>
                        <w:top w:val="none" w:sz="0" w:space="0" w:color="auto"/>
                        <w:left w:val="none" w:sz="0" w:space="0" w:color="auto"/>
                        <w:bottom w:val="none" w:sz="0" w:space="0" w:color="auto"/>
                        <w:right w:val="none" w:sz="0" w:space="0" w:color="auto"/>
                      </w:divBdr>
                    </w:div>
                    <w:div w:id="1271277494">
                      <w:marLeft w:val="0"/>
                      <w:marRight w:val="0"/>
                      <w:marTop w:val="0"/>
                      <w:marBottom w:val="0"/>
                      <w:divBdr>
                        <w:top w:val="none" w:sz="0" w:space="0" w:color="auto"/>
                        <w:left w:val="none" w:sz="0" w:space="0" w:color="auto"/>
                        <w:bottom w:val="none" w:sz="0" w:space="0" w:color="auto"/>
                        <w:right w:val="none" w:sz="0" w:space="0" w:color="auto"/>
                      </w:divBdr>
                    </w:div>
                    <w:div w:id="1283145444">
                      <w:marLeft w:val="0"/>
                      <w:marRight w:val="0"/>
                      <w:marTop w:val="0"/>
                      <w:marBottom w:val="0"/>
                      <w:divBdr>
                        <w:top w:val="none" w:sz="0" w:space="0" w:color="auto"/>
                        <w:left w:val="none" w:sz="0" w:space="0" w:color="auto"/>
                        <w:bottom w:val="none" w:sz="0" w:space="0" w:color="auto"/>
                        <w:right w:val="none" w:sz="0" w:space="0" w:color="auto"/>
                      </w:divBdr>
                    </w:div>
                    <w:div w:id="836724002">
                      <w:marLeft w:val="0"/>
                      <w:marRight w:val="0"/>
                      <w:marTop w:val="0"/>
                      <w:marBottom w:val="0"/>
                      <w:divBdr>
                        <w:top w:val="none" w:sz="0" w:space="0" w:color="auto"/>
                        <w:left w:val="none" w:sz="0" w:space="0" w:color="auto"/>
                        <w:bottom w:val="none" w:sz="0" w:space="0" w:color="auto"/>
                        <w:right w:val="none" w:sz="0" w:space="0" w:color="auto"/>
                      </w:divBdr>
                    </w:div>
                    <w:div w:id="1510101189">
                      <w:marLeft w:val="0"/>
                      <w:marRight w:val="0"/>
                      <w:marTop w:val="0"/>
                      <w:marBottom w:val="0"/>
                      <w:divBdr>
                        <w:top w:val="none" w:sz="0" w:space="0" w:color="auto"/>
                        <w:left w:val="none" w:sz="0" w:space="0" w:color="auto"/>
                        <w:bottom w:val="none" w:sz="0" w:space="0" w:color="auto"/>
                        <w:right w:val="none" w:sz="0" w:space="0" w:color="auto"/>
                      </w:divBdr>
                    </w:div>
                    <w:div w:id="886650403">
                      <w:marLeft w:val="0"/>
                      <w:marRight w:val="0"/>
                      <w:marTop w:val="0"/>
                      <w:marBottom w:val="0"/>
                      <w:divBdr>
                        <w:top w:val="none" w:sz="0" w:space="0" w:color="auto"/>
                        <w:left w:val="none" w:sz="0" w:space="0" w:color="auto"/>
                        <w:bottom w:val="none" w:sz="0" w:space="0" w:color="auto"/>
                        <w:right w:val="none" w:sz="0" w:space="0" w:color="auto"/>
                      </w:divBdr>
                    </w:div>
                    <w:div w:id="1438016668">
                      <w:marLeft w:val="0"/>
                      <w:marRight w:val="0"/>
                      <w:marTop w:val="0"/>
                      <w:marBottom w:val="0"/>
                      <w:divBdr>
                        <w:top w:val="none" w:sz="0" w:space="0" w:color="auto"/>
                        <w:left w:val="none" w:sz="0" w:space="0" w:color="auto"/>
                        <w:bottom w:val="none" w:sz="0" w:space="0" w:color="auto"/>
                        <w:right w:val="none" w:sz="0" w:space="0" w:color="auto"/>
                      </w:divBdr>
                    </w:div>
                    <w:div w:id="1649169262">
                      <w:marLeft w:val="0"/>
                      <w:marRight w:val="0"/>
                      <w:marTop w:val="0"/>
                      <w:marBottom w:val="0"/>
                      <w:divBdr>
                        <w:top w:val="none" w:sz="0" w:space="0" w:color="auto"/>
                        <w:left w:val="none" w:sz="0" w:space="0" w:color="auto"/>
                        <w:bottom w:val="none" w:sz="0" w:space="0" w:color="auto"/>
                        <w:right w:val="none" w:sz="0" w:space="0" w:color="auto"/>
                      </w:divBdr>
                    </w:div>
                    <w:div w:id="9364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874316">
      <w:bodyDiv w:val="1"/>
      <w:marLeft w:val="0"/>
      <w:marRight w:val="0"/>
      <w:marTop w:val="0"/>
      <w:marBottom w:val="0"/>
      <w:divBdr>
        <w:top w:val="none" w:sz="0" w:space="0" w:color="auto"/>
        <w:left w:val="none" w:sz="0" w:space="0" w:color="auto"/>
        <w:bottom w:val="none" w:sz="0" w:space="0" w:color="auto"/>
        <w:right w:val="none" w:sz="0" w:space="0" w:color="auto"/>
      </w:divBdr>
    </w:div>
    <w:div w:id="119264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abc0694-2310-4544-a4fb-e75686213e06" xsi:nil="true"/>
    <lcf76f155ced4ddcb4097134ff3c332f xmlns="22bd57a6-8f1f-4e79-8425-f5c1497dfc3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FE84B9DDAAD3428BCC5037886ED948" ma:contentTypeVersion="13" ma:contentTypeDescription="Create a new document." ma:contentTypeScope="" ma:versionID="090399ca86c71ddb30e84ec1f0b2263e">
  <xsd:schema xmlns:xsd="http://www.w3.org/2001/XMLSchema" xmlns:xs="http://www.w3.org/2001/XMLSchema" xmlns:p="http://schemas.microsoft.com/office/2006/metadata/properties" xmlns:ns2="22bd57a6-8f1f-4e79-8425-f5c1497dfc34" xmlns:ns3="aabc0694-2310-4544-a4fb-e75686213e06" targetNamespace="http://schemas.microsoft.com/office/2006/metadata/properties" ma:root="true" ma:fieldsID="d57934fe7644b20407b1eb253138dd2e" ns2:_="" ns3:_="">
    <xsd:import namespace="22bd57a6-8f1f-4e79-8425-f5c1497dfc34"/>
    <xsd:import namespace="aabc0694-2310-4544-a4fb-e75686213e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d57a6-8f1f-4e79-8425-f5c1497dfc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0e5a9d1-4baf-4e56-b413-3e41765a243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bc0694-2310-4544-a4fb-e75686213e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41a0c8-e32e-404a-bf6e-8aff7b1b0d58}" ma:internalName="TaxCatchAll" ma:showField="CatchAllData" ma:web="aabc0694-2310-4544-a4fb-e75686213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CA5A90-0D97-43DA-82DF-97A728C27ACF}">
  <ds:schemaRefs>
    <ds:schemaRef ds:uri="http://schemas.microsoft.com/office/2006/metadata/properties"/>
    <ds:schemaRef ds:uri="http://schemas.microsoft.com/office/infopath/2007/PartnerControls"/>
    <ds:schemaRef ds:uri="aabc0694-2310-4544-a4fb-e75686213e06"/>
    <ds:schemaRef ds:uri="22bd57a6-8f1f-4e79-8425-f5c1497dfc34"/>
  </ds:schemaRefs>
</ds:datastoreItem>
</file>

<file path=customXml/itemProps2.xml><?xml version="1.0" encoding="utf-8"?>
<ds:datastoreItem xmlns:ds="http://schemas.openxmlformats.org/officeDocument/2006/customXml" ds:itemID="{B90B2DDC-AB79-462D-9871-105011CE8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d57a6-8f1f-4e79-8425-f5c1497dfc34"/>
    <ds:schemaRef ds:uri="aabc0694-2310-4544-a4fb-e75686213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A07174-A217-4B37-8E7B-F58F6DEA71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6</Pages>
  <Words>1175</Words>
  <Characters>7740</Characters>
  <DocSecurity>0</DocSecurity>
  <Lines>169</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2024-10-29T09:27:00Z</dcterms:created>
  <dcterms:modified xsi:type="dcterms:W3CDTF">2024-10-29T11:20:00Z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0x010100A6FE84B9DDAAD3428BCC5037886ED948</vt:lpwstr>
  </property>
</Properties>
</file>